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528F226F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29FF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629FF">
        <w:rPr>
          <w:sz w:val="26"/>
          <w:szCs w:val="26"/>
          <w:u w:val="single"/>
        </w:rPr>
        <w:t>195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1F70D832" w14:textId="77777777" w:rsidR="001629FF" w:rsidRDefault="001629FF" w:rsidP="001629FF">
      <w:pPr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29.04.2022 № 164-р «</w:t>
      </w:r>
      <w:r w:rsidRPr="00333F28">
        <w:rPr>
          <w:sz w:val="26"/>
          <w:szCs w:val="26"/>
        </w:rPr>
        <w:t>Об утверждении ведомственного плана мероприятий по реализации «дорожной карты» по содействию развитию конкуренции на территории городского округа город Шахунья Нижегородской области</w:t>
      </w:r>
      <w:r>
        <w:rPr>
          <w:sz w:val="26"/>
          <w:szCs w:val="26"/>
        </w:rPr>
        <w:t>»</w:t>
      </w:r>
    </w:p>
    <w:p w14:paraId="4722C118" w14:textId="77777777" w:rsidR="001629FF" w:rsidRDefault="001629FF" w:rsidP="001629FF">
      <w:pPr>
        <w:jc w:val="both"/>
        <w:rPr>
          <w:sz w:val="26"/>
          <w:szCs w:val="26"/>
        </w:rPr>
      </w:pPr>
    </w:p>
    <w:p w14:paraId="1B5681C6" w14:textId="77777777" w:rsidR="001629FF" w:rsidRDefault="001629FF" w:rsidP="001629FF">
      <w:pPr>
        <w:jc w:val="both"/>
        <w:rPr>
          <w:sz w:val="26"/>
          <w:szCs w:val="26"/>
        </w:rPr>
      </w:pPr>
    </w:p>
    <w:p w14:paraId="60BD4A6A" w14:textId="77777777" w:rsidR="001629FF" w:rsidRPr="0054496A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A40D08">
        <w:rPr>
          <w:sz w:val="26"/>
          <w:szCs w:val="26"/>
        </w:rPr>
        <w:t>В целях исполнения распоряжения Губернатора Нижегородской области от 28 декабря 2021 года № 1936-р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Нижегородск</w:t>
      </w:r>
      <w:r>
        <w:rPr>
          <w:sz w:val="26"/>
          <w:szCs w:val="26"/>
        </w:rPr>
        <w:t>ой области на 2022 – 2025 годы»</w:t>
      </w:r>
      <w:r w:rsidRPr="0054496A">
        <w:rPr>
          <w:sz w:val="26"/>
          <w:szCs w:val="26"/>
        </w:rPr>
        <w:t xml:space="preserve">:  </w:t>
      </w:r>
    </w:p>
    <w:p w14:paraId="58DCBB45" w14:textId="457DBBE7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распоряжение </w:t>
      </w:r>
      <w:r w:rsidRPr="00A40D08">
        <w:rPr>
          <w:sz w:val="26"/>
          <w:szCs w:val="26"/>
        </w:rPr>
        <w:t>администрации городского округа город Шахунья Нижегородской области от 29.04.2022 № 164-р «Об утверждении ведомственного плана 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внести изменения, и</w:t>
      </w:r>
      <w:r w:rsidRPr="00BD399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Pr="00BD399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D3991">
        <w:rPr>
          <w:sz w:val="26"/>
          <w:szCs w:val="26"/>
        </w:rPr>
        <w:t xml:space="preserve">едомственный план мероприятий по реализации «дорожной карты» по содействию развитию конкуренции на территории городского округа город Шахунья Нижегородской области в новой редакции, согласно </w:t>
      </w:r>
      <w:r>
        <w:rPr>
          <w:sz w:val="26"/>
          <w:szCs w:val="26"/>
        </w:rPr>
        <w:t>приложению</w:t>
      </w:r>
      <w:r w:rsidRPr="00BD3991">
        <w:rPr>
          <w:sz w:val="26"/>
          <w:szCs w:val="26"/>
        </w:rPr>
        <w:t xml:space="preserve"> к настоящему распоряжению</w:t>
      </w:r>
      <w:r w:rsidRPr="00D2389B">
        <w:rPr>
          <w:sz w:val="26"/>
          <w:szCs w:val="26"/>
        </w:rPr>
        <w:t>.</w:t>
      </w:r>
    </w:p>
    <w:p w14:paraId="27091C16" w14:textId="77777777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2389B">
        <w:rPr>
          <w:sz w:val="26"/>
          <w:szCs w:val="26"/>
        </w:rPr>
        <w:t xml:space="preserve">Структурным подразделениям администрации городского округа город </w:t>
      </w:r>
      <w:r>
        <w:rPr>
          <w:sz w:val="26"/>
          <w:szCs w:val="26"/>
        </w:rPr>
        <w:t>Шахунья</w:t>
      </w:r>
      <w:r w:rsidRPr="00D2389B">
        <w:rPr>
          <w:sz w:val="26"/>
          <w:szCs w:val="26"/>
        </w:rPr>
        <w:t xml:space="preserve"> Нижегородской области, ответственным за реализацию мероприятий </w:t>
      </w:r>
      <w:r>
        <w:rPr>
          <w:sz w:val="26"/>
          <w:szCs w:val="26"/>
        </w:rPr>
        <w:t xml:space="preserve">Ведомственного </w:t>
      </w:r>
      <w:r>
        <w:rPr>
          <w:sz w:val="26"/>
          <w:szCs w:val="26"/>
        </w:rPr>
        <w:lastRenderedPageBreak/>
        <w:t>п</w:t>
      </w:r>
      <w:r w:rsidRPr="00D2389B">
        <w:rPr>
          <w:sz w:val="26"/>
          <w:szCs w:val="26"/>
        </w:rPr>
        <w:t>лана:</w:t>
      </w:r>
    </w:p>
    <w:p w14:paraId="23873F8D" w14:textId="5689AE2F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реализацию </w:t>
      </w:r>
      <w:r w:rsidRPr="00D5576E">
        <w:rPr>
          <w:sz w:val="26"/>
          <w:szCs w:val="26"/>
        </w:rPr>
        <w:t>Ведомственного плана</w:t>
      </w:r>
      <w:r>
        <w:rPr>
          <w:sz w:val="26"/>
          <w:szCs w:val="26"/>
        </w:rPr>
        <w:t>.</w:t>
      </w:r>
    </w:p>
    <w:p w14:paraId="169DC99C" w14:textId="77777777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2389B">
        <w:rPr>
          <w:sz w:val="26"/>
          <w:szCs w:val="26"/>
        </w:rPr>
        <w:t>П</w:t>
      </w:r>
      <w:r>
        <w:rPr>
          <w:sz w:val="26"/>
          <w:szCs w:val="26"/>
        </w:rPr>
        <w:t xml:space="preserve">редставлять в отдел экономики, </w:t>
      </w:r>
      <w:r w:rsidRPr="00D2389B">
        <w:rPr>
          <w:sz w:val="26"/>
          <w:szCs w:val="26"/>
        </w:rPr>
        <w:t>прогнозирования</w:t>
      </w:r>
      <w:r>
        <w:rPr>
          <w:sz w:val="26"/>
          <w:szCs w:val="26"/>
        </w:rPr>
        <w:t xml:space="preserve"> и инвестиционной политики </w:t>
      </w:r>
      <w:r w:rsidRPr="00D2389B">
        <w:rPr>
          <w:sz w:val="26"/>
          <w:szCs w:val="26"/>
        </w:rPr>
        <w:t xml:space="preserve">администрации городского округа город </w:t>
      </w:r>
      <w:r>
        <w:rPr>
          <w:sz w:val="26"/>
          <w:szCs w:val="26"/>
        </w:rPr>
        <w:t>Шахунья</w:t>
      </w:r>
      <w:r w:rsidRPr="00D2389B">
        <w:rPr>
          <w:sz w:val="26"/>
          <w:szCs w:val="26"/>
        </w:rPr>
        <w:t xml:space="preserve"> Нижегородской области информацию о ходе реализации </w:t>
      </w:r>
      <w:r w:rsidRPr="00D5576E">
        <w:rPr>
          <w:sz w:val="26"/>
          <w:szCs w:val="26"/>
        </w:rPr>
        <w:t>Ведомственного плана</w:t>
      </w:r>
      <w:r w:rsidRPr="00D2389B">
        <w:rPr>
          <w:sz w:val="26"/>
          <w:szCs w:val="26"/>
        </w:rPr>
        <w:t>:</w:t>
      </w:r>
    </w:p>
    <w:p w14:paraId="3E4C20CA" w14:textId="77777777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D2389B">
        <w:rPr>
          <w:sz w:val="26"/>
          <w:szCs w:val="26"/>
        </w:rPr>
        <w:t>- по итогам полугодия – до 1</w:t>
      </w:r>
      <w:r>
        <w:rPr>
          <w:sz w:val="26"/>
          <w:szCs w:val="26"/>
        </w:rPr>
        <w:t>5</w:t>
      </w:r>
      <w:r w:rsidRPr="00D2389B">
        <w:rPr>
          <w:sz w:val="26"/>
          <w:szCs w:val="26"/>
        </w:rPr>
        <w:t xml:space="preserve"> июля отчетного года;</w:t>
      </w:r>
    </w:p>
    <w:p w14:paraId="0992CB4A" w14:textId="77777777" w:rsidR="001629FF" w:rsidRPr="00D2389B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D2389B">
        <w:rPr>
          <w:sz w:val="26"/>
          <w:szCs w:val="26"/>
        </w:rPr>
        <w:t>- по итогам года – до 20 января года, следующего за отчетным годом.</w:t>
      </w:r>
    </w:p>
    <w:p w14:paraId="5F8D8A8E" w14:textId="429ABE27" w:rsidR="001629FF" w:rsidRPr="0054496A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4496A">
        <w:rPr>
          <w:sz w:val="26"/>
          <w:szCs w:val="26"/>
        </w:rPr>
        <w:t xml:space="preserve">. </w:t>
      </w:r>
      <w:r w:rsidRPr="008D2354">
        <w:rPr>
          <w:sz w:val="26"/>
          <w:szCs w:val="26"/>
        </w:rPr>
        <w:t>Настоящее распоряжение вступает в силу с даты подписания</w:t>
      </w:r>
      <w:r w:rsidRPr="0054496A">
        <w:rPr>
          <w:sz w:val="26"/>
          <w:szCs w:val="26"/>
        </w:rPr>
        <w:t>.</w:t>
      </w:r>
    </w:p>
    <w:p w14:paraId="54095E06" w14:textId="77777777" w:rsidR="001629FF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4496A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делами</w:t>
      </w:r>
      <w:r w:rsidRPr="0054496A">
        <w:rPr>
          <w:sz w:val="26"/>
          <w:szCs w:val="26"/>
        </w:rPr>
        <w:t xml:space="preserve">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14:paraId="0668F05D" w14:textId="77777777" w:rsidR="001629FF" w:rsidRDefault="001629FF" w:rsidP="001629FF">
      <w:pPr>
        <w:widowControl w:val="0"/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4496A">
        <w:rPr>
          <w:sz w:val="26"/>
          <w:szCs w:val="26"/>
        </w:rPr>
        <w:t>. Контроль за исполнением настоящего распоряжения оставляю за собой.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38834813" w14:textId="77777777" w:rsidR="001629FF" w:rsidRDefault="001629FF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702F02C2" w14:textId="77777777" w:rsidR="001629FF" w:rsidRDefault="001629FF" w:rsidP="00400444">
      <w:pPr>
        <w:jc w:val="both"/>
        <w:rPr>
          <w:sz w:val="26"/>
          <w:szCs w:val="26"/>
        </w:rPr>
      </w:pPr>
    </w:p>
    <w:p w14:paraId="1A4894C3" w14:textId="77777777" w:rsidR="00752707" w:rsidRDefault="00752707" w:rsidP="0075270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6D7FC25F" w14:textId="77777777" w:rsidR="00752707" w:rsidRDefault="00752707" w:rsidP="00752707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4E025DFE" w14:textId="77777777" w:rsidR="001629FF" w:rsidRDefault="001629FF">
      <w:pPr>
        <w:rPr>
          <w:sz w:val="22"/>
          <w:szCs w:val="22"/>
        </w:rPr>
        <w:sectPr w:rsidR="001629FF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03BEA65D" w14:textId="4EFE319D" w:rsidR="001629FF" w:rsidRPr="001629FF" w:rsidRDefault="001629FF" w:rsidP="001629FF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 w:val="26"/>
          <w:szCs w:val="26"/>
          <w:lang w:eastAsia="hi-IN" w:bidi="hi-IN"/>
        </w:rPr>
      </w:pPr>
      <w:r>
        <w:rPr>
          <w:rFonts w:eastAsia="SimSun"/>
          <w:kern w:val="2"/>
          <w:sz w:val="26"/>
          <w:szCs w:val="26"/>
          <w:lang w:eastAsia="hi-IN" w:bidi="hi-IN"/>
        </w:rPr>
        <w:lastRenderedPageBreak/>
        <w:t>Приложение</w:t>
      </w:r>
    </w:p>
    <w:p w14:paraId="4400E2BA" w14:textId="4001540E" w:rsidR="001629FF" w:rsidRPr="001629FF" w:rsidRDefault="001629FF" w:rsidP="001629FF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 w:val="26"/>
          <w:szCs w:val="26"/>
          <w:lang w:eastAsia="hi-IN" w:bidi="hi-IN"/>
        </w:rPr>
      </w:pPr>
      <w:r>
        <w:rPr>
          <w:rFonts w:eastAsia="SimSun"/>
          <w:kern w:val="2"/>
          <w:sz w:val="26"/>
          <w:szCs w:val="26"/>
          <w:lang w:eastAsia="hi-IN" w:bidi="hi-IN"/>
        </w:rPr>
        <w:t>к</w:t>
      </w:r>
      <w:r w:rsidRPr="001629FF">
        <w:rPr>
          <w:rFonts w:eastAsia="SimSun"/>
          <w:kern w:val="2"/>
          <w:sz w:val="26"/>
          <w:szCs w:val="26"/>
          <w:lang w:eastAsia="hi-IN" w:bidi="hi-IN"/>
        </w:rPr>
        <w:t xml:space="preserve"> распоряжени</w:t>
      </w:r>
      <w:r>
        <w:rPr>
          <w:rFonts w:eastAsia="SimSun"/>
          <w:kern w:val="2"/>
          <w:sz w:val="26"/>
          <w:szCs w:val="26"/>
          <w:lang w:eastAsia="hi-IN" w:bidi="hi-IN"/>
        </w:rPr>
        <w:t>ю</w:t>
      </w:r>
      <w:r w:rsidRPr="001629FF">
        <w:rPr>
          <w:rFonts w:eastAsia="SimSun"/>
          <w:kern w:val="2"/>
          <w:sz w:val="26"/>
          <w:szCs w:val="26"/>
          <w:lang w:eastAsia="hi-IN" w:bidi="hi-IN"/>
        </w:rPr>
        <w:t xml:space="preserve"> администрации</w:t>
      </w:r>
    </w:p>
    <w:p w14:paraId="7106C219" w14:textId="77777777" w:rsidR="001629FF" w:rsidRPr="001629FF" w:rsidRDefault="001629FF" w:rsidP="001629FF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 w:val="26"/>
          <w:szCs w:val="26"/>
          <w:lang w:eastAsia="hi-IN" w:bidi="hi-IN"/>
        </w:rPr>
      </w:pPr>
      <w:r w:rsidRPr="001629FF">
        <w:rPr>
          <w:rFonts w:eastAsia="SimSun"/>
          <w:kern w:val="2"/>
          <w:sz w:val="26"/>
          <w:szCs w:val="26"/>
          <w:lang w:eastAsia="hi-IN" w:bidi="hi-IN"/>
        </w:rPr>
        <w:t>городского округа город Шахунья</w:t>
      </w:r>
    </w:p>
    <w:p w14:paraId="2B5132B1" w14:textId="77777777" w:rsidR="001629FF" w:rsidRPr="001629FF" w:rsidRDefault="001629FF" w:rsidP="001629FF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 w:val="26"/>
          <w:szCs w:val="26"/>
          <w:lang w:eastAsia="hi-IN" w:bidi="hi-IN"/>
        </w:rPr>
      </w:pPr>
      <w:r w:rsidRPr="001629FF">
        <w:rPr>
          <w:rFonts w:eastAsia="SimSun"/>
          <w:kern w:val="2"/>
          <w:sz w:val="26"/>
          <w:szCs w:val="26"/>
          <w:lang w:eastAsia="hi-IN" w:bidi="hi-IN"/>
        </w:rPr>
        <w:t>Нижегородской области</w:t>
      </w:r>
    </w:p>
    <w:p w14:paraId="651282A5" w14:textId="55182950" w:rsidR="001629FF" w:rsidRPr="001629FF" w:rsidRDefault="001629FF" w:rsidP="001629FF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 w:val="26"/>
          <w:szCs w:val="26"/>
          <w:lang w:eastAsia="hi-IN" w:bidi="hi-IN"/>
        </w:rPr>
      </w:pPr>
      <w:r w:rsidRPr="001629FF">
        <w:rPr>
          <w:rFonts w:eastAsia="SimSun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/>
          <w:kern w:val="2"/>
          <w:sz w:val="26"/>
          <w:szCs w:val="26"/>
          <w:lang w:eastAsia="hi-IN" w:bidi="hi-IN"/>
        </w:rPr>
        <w:t>18</w:t>
      </w:r>
      <w:r w:rsidRPr="001629FF">
        <w:rPr>
          <w:rFonts w:eastAsia="SimSun"/>
          <w:kern w:val="2"/>
          <w:sz w:val="26"/>
          <w:szCs w:val="26"/>
          <w:lang w:eastAsia="hi-IN" w:bidi="hi-IN"/>
        </w:rPr>
        <w:t xml:space="preserve">.05.2023 </w:t>
      </w:r>
      <w:r>
        <w:rPr>
          <w:rFonts w:eastAsia="SimSun"/>
          <w:kern w:val="2"/>
          <w:sz w:val="26"/>
          <w:szCs w:val="26"/>
          <w:lang w:eastAsia="hi-IN" w:bidi="hi-IN"/>
        </w:rPr>
        <w:t xml:space="preserve">г. </w:t>
      </w:r>
      <w:r w:rsidRPr="001629FF">
        <w:rPr>
          <w:rFonts w:eastAsia="SimSun"/>
          <w:kern w:val="2"/>
          <w:sz w:val="26"/>
          <w:szCs w:val="26"/>
          <w:lang w:eastAsia="hi-IN" w:bidi="hi-IN"/>
        </w:rPr>
        <w:t xml:space="preserve">№ </w:t>
      </w:r>
      <w:r>
        <w:rPr>
          <w:rFonts w:eastAsia="SimSun"/>
          <w:kern w:val="2"/>
          <w:sz w:val="26"/>
          <w:szCs w:val="26"/>
          <w:lang w:eastAsia="hi-IN" w:bidi="hi-IN"/>
        </w:rPr>
        <w:t>195</w:t>
      </w:r>
      <w:r w:rsidRPr="001629FF">
        <w:rPr>
          <w:rFonts w:eastAsia="SimSun"/>
          <w:kern w:val="2"/>
          <w:sz w:val="26"/>
          <w:szCs w:val="26"/>
          <w:lang w:eastAsia="hi-IN" w:bidi="hi-IN"/>
        </w:rPr>
        <w:t>-р</w:t>
      </w:r>
    </w:p>
    <w:p w14:paraId="122AE5B0" w14:textId="77777777" w:rsidR="001629FF" w:rsidRPr="001143EC" w:rsidRDefault="001629FF" w:rsidP="001629FF">
      <w:pPr>
        <w:rPr>
          <w:rFonts w:eastAsia="Calibri"/>
        </w:rPr>
      </w:pPr>
    </w:p>
    <w:p w14:paraId="12BA3A14" w14:textId="77777777" w:rsidR="001629FF" w:rsidRPr="00044DE9" w:rsidRDefault="001629FF" w:rsidP="001629FF">
      <w:pPr>
        <w:keepNext/>
        <w:keepLines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044DE9">
        <w:rPr>
          <w:rFonts w:eastAsia="SimSun"/>
          <w:b/>
          <w:kern w:val="2"/>
          <w:sz w:val="26"/>
          <w:szCs w:val="26"/>
          <w:lang w:eastAsia="hi-IN" w:bidi="hi-IN"/>
        </w:rPr>
        <w:t xml:space="preserve">Ведомственный план мероприятий </w:t>
      </w:r>
      <w:r w:rsidRPr="00044DE9">
        <w:rPr>
          <w:b/>
          <w:sz w:val="26"/>
          <w:szCs w:val="26"/>
        </w:rPr>
        <w:t xml:space="preserve">по реализации «дорожной карты» по содействию развитию </w:t>
      </w:r>
      <w:r w:rsidRPr="00044DE9">
        <w:rPr>
          <w:b/>
          <w:sz w:val="26"/>
          <w:szCs w:val="26"/>
        </w:rPr>
        <w:br/>
        <w:t>конкуренции на территории</w:t>
      </w:r>
      <w:r w:rsidRPr="00044DE9">
        <w:rPr>
          <w:rFonts w:eastAsia="SimSun"/>
          <w:b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</w:t>
      </w:r>
    </w:p>
    <w:p w14:paraId="0D52BA08" w14:textId="77777777" w:rsidR="001629FF" w:rsidRPr="00246468" w:rsidRDefault="001629FF" w:rsidP="001629FF">
      <w:pPr>
        <w:keepNext/>
        <w:keepLines/>
        <w:jc w:val="center"/>
        <w:rPr>
          <w:b/>
          <w:sz w:val="28"/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3124"/>
        <w:gridCol w:w="991"/>
        <w:gridCol w:w="2284"/>
        <w:gridCol w:w="859"/>
        <w:gridCol w:w="837"/>
        <w:gridCol w:w="859"/>
        <w:gridCol w:w="856"/>
        <w:gridCol w:w="890"/>
        <w:gridCol w:w="22"/>
        <w:gridCol w:w="38"/>
        <w:gridCol w:w="25"/>
        <w:gridCol w:w="1951"/>
        <w:gridCol w:w="19"/>
        <w:gridCol w:w="9"/>
        <w:gridCol w:w="38"/>
        <w:gridCol w:w="44"/>
        <w:gridCol w:w="2039"/>
        <w:gridCol w:w="13"/>
      </w:tblGrid>
      <w:tr w:rsidR="001629FF" w:rsidRPr="009814F1" w14:paraId="40AEAD52" w14:textId="77777777" w:rsidTr="00182DEE">
        <w:tc>
          <w:tcPr>
            <w:tcW w:w="265" w:type="pct"/>
            <w:vMerge w:val="restart"/>
            <w:vAlign w:val="center"/>
            <w:hideMark/>
          </w:tcPr>
          <w:p w14:paraId="39B77131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№ </w:t>
            </w:r>
          </w:p>
          <w:p w14:paraId="4D7E25B0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п/п</w:t>
            </w:r>
          </w:p>
        </w:tc>
        <w:tc>
          <w:tcPr>
            <w:tcW w:w="993" w:type="pct"/>
            <w:vMerge w:val="restart"/>
            <w:vAlign w:val="center"/>
            <w:hideMark/>
          </w:tcPr>
          <w:p w14:paraId="7B78B650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Наименование</w:t>
            </w:r>
            <w:r w:rsidRPr="009814F1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315" w:type="pct"/>
            <w:vMerge w:val="restart"/>
            <w:vAlign w:val="center"/>
            <w:hideMark/>
          </w:tcPr>
          <w:p w14:paraId="60F7120C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26" w:type="pct"/>
            <w:vMerge w:val="restart"/>
            <w:vAlign w:val="center"/>
            <w:hideMark/>
          </w:tcPr>
          <w:p w14:paraId="017C4149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Наименование показателя / вид документа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14:paraId="16E148B7" w14:textId="77777777" w:rsidR="001629FF" w:rsidRPr="009814F1" w:rsidRDefault="001629FF" w:rsidP="00182DEE">
            <w:pPr>
              <w:keepNext/>
              <w:keepLines/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31 декабря 2021 г.</w:t>
            </w:r>
          </w:p>
        </w:tc>
        <w:tc>
          <w:tcPr>
            <w:tcW w:w="1121" w:type="pct"/>
            <w:gridSpan w:val="7"/>
          </w:tcPr>
          <w:p w14:paraId="5BAF5AFD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655" w:type="pct"/>
            <w:gridSpan w:val="5"/>
            <w:vMerge w:val="restart"/>
            <w:vAlign w:val="center"/>
            <w:hideMark/>
          </w:tcPr>
          <w:p w14:paraId="71427E53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Результат исполнения мероприятия</w:t>
            </w:r>
          </w:p>
        </w:tc>
        <w:tc>
          <w:tcPr>
            <w:tcW w:w="652" w:type="pct"/>
            <w:gridSpan w:val="2"/>
            <w:vMerge w:val="restart"/>
            <w:vAlign w:val="center"/>
            <w:hideMark/>
          </w:tcPr>
          <w:p w14:paraId="1EF53994" w14:textId="77777777" w:rsidR="001629FF" w:rsidRPr="009814F1" w:rsidRDefault="001629FF" w:rsidP="00182DE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Ответственные</w:t>
            </w:r>
            <w:r>
              <w:rPr>
                <w:sz w:val="22"/>
                <w:szCs w:val="22"/>
              </w:rPr>
              <w:t xml:space="preserve"> </w:t>
            </w:r>
            <w:r w:rsidRPr="009814F1">
              <w:rPr>
                <w:sz w:val="22"/>
                <w:szCs w:val="22"/>
              </w:rPr>
              <w:t>исполнители</w:t>
            </w:r>
          </w:p>
        </w:tc>
      </w:tr>
      <w:tr w:rsidR="001629FF" w:rsidRPr="009814F1" w14:paraId="17A6F655" w14:textId="77777777" w:rsidTr="00182DEE">
        <w:trPr>
          <w:cantSplit/>
          <w:trHeight w:val="1396"/>
        </w:trPr>
        <w:tc>
          <w:tcPr>
            <w:tcW w:w="265" w:type="pct"/>
            <w:vMerge/>
            <w:vAlign w:val="center"/>
            <w:hideMark/>
          </w:tcPr>
          <w:p w14:paraId="083BF25E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vAlign w:val="center"/>
            <w:hideMark/>
          </w:tcPr>
          <w:p w14:paraId="7ECDAFE0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33E11944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14:paraId="5D9306F7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extDirection w:val="btLr"/>
          </w:tcPr>
          <w:p w14:paraId="6C7F1396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extDirection w:val="btLr"/>
            <w:vAlign w:val="center"/>
            <w:hideMark/>
          </w:tcPr>
          <w:p w14:paraId="621F43DF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31 декабря 2022 г.</w:t>
            </w:r>
          </w:p>
        </w:tc>
        <w:tc>
          <w:tcPr>
            <w:tcW w:w="273" w:type="pct"/>
            <w:textDirection w:val="btLr"/>
            <w:vAlign w:val="center"/>
            <w:hideMark/>
          </w:tcPr>
          <w:p w14:paraId="647BAEE1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31 декабря 2023 г.</w:t>
            </w:r>
          </w:p>
        </w:tc>
        <w:tc>
          <w:tcPr>
            <w:tcW w:w="272" w:type="pct"/>
            <w:textDirection w:val="btLr"/>
            <w:vAlign w:val="center"/>
            <w:hideMark/>
          </w:tcPr>
          <w:p w14:paraId="77F0EB04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31 декабря </w:t>
            </w:r>
          </w:p>
          <w:p w14:paraId="7074ED44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г.</w:t>
            </w:r>
          </w:p>
        </w:tc>
        <w:tc>
          <w:tcPr>
            <w:tcW w:w="310" w:type="pct"/>
            <w:gridSpan w:val="4"/>
            <w:textDirection w:val="btLr"/>
            <w:vAlign w:val="center"/>
            <w:hideMark/>
          </w:tcPr>
          <w:p w14:paraId="50BF2A6F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31 декабря</w:t>
            </w:r>
          </w:p>
          <w:p w14:paraId="50CBD158" w14:textId="77777777" w:rsidR="001629FF" w:rsidRPr="009814F1" w:rsidRDefault="001629FF" w:rsidP="00182DE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 2025</w:t>
            </w:r>
            <w:r>
              <w:rPr>
                <w:sz w:val="22"/>
                <w:szCs w:val="22"/>
              </w:rPr>
              <w:t xml:space="preserve"> </w:t>
            </w:r>
            <w:r w:rsidRPr="009814F1">
              <w:rPr>
                <w:sz w:val="22"/>
                <w:szCs w:val="22"/>
              </w:rPr>
              <w:t>г.</w:t>
            </w:r>
          </w:p>
        </w:tc>
        <w:tc>
          <w:tcPr>
            <w:tcW w:w="655" w:type="pct"/>
            <w:gridSpan w:val="5"/>
            <w:vMerge/>
            <w:vAlign w:val="center"/>
            <w:hideMark/>
          </w:tcPr>
          <w:p w14:paraId="362B01D3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Merge/>
            <w:vAlign w:val="center"/>
            <w:hideMark/>
          </w:tcPr>
          <w:p w14:paraId="2AF1C1DD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</w:tr>
      <w:tr w:rsidR="001629FF" w:rsidRPr="009814F1" w14:paraId="72CCE209" w14:textId="77777777" w:rsidTr="00182DEE">
        <w:tc>
          <w:tcPr>
            <w:tcW w:w="265" w:type="pct"/>
            <w:hideMark/>
          </w:tcPr>
          <w:p w14:paraId="7B44D372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</w:p>
        </w:tc>
        <w:tc>
          <w:tcPr>
            <w:tcW w:w="4735" w:type="pct"/>
            <w:gridSpan w:val="18"/>
          </w:tcPr>
          <w:p w14:paraId="1A70C1F0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Системные мероприятия по содействию развитию конкуренции на территории городского округа город Шахунья Нижегородской области</w:t>
            </w:r>
          </w:p>
        </w:tc>
      </w:tr>
      <w:tr w:rsidR="001629FF" w:rsidRPr="009814F1" w14:paraId="223BF90A" w14:textId="77777777" w:rsidTr="00182DEE">
        <w:tc>
          <w:tcPr>
            <w:tcW w:w="265" w:type="pct"/>
            <w:hideMark/>
          </w:tcPr>
          <w:p w14:paraId="390868E8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bookmarkStart w:id="0" w:name="_Hlk89701417"/>
            <w:r w:rsidRPr="009814F1">
              <w:rPr>
                <w:sz w:val="22"/>
                <w:szCs w:val="22"/>
              </w:rPr>
              <w:t>1.1.</w:t>
            </w:r>
          </w:p>
        </w:tc>
        <w:tc>
          <w:tcPr>
            <w:tcW w:w="4735" w:type="pct"/>
            <w:gridSpan w:val="18"/>
          </w:tcPr>
          <w:p w14:paraId="12AD6D04" w14:textId="77777777" w:rsidR="001629FF" w:rsidRPr="009814F1" w:rsidRDefault="001629FF" w:rsidP="00182DEE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1629FF" w:rsidRPr="009814F1" w14:paraId="7000C770" w14:textId="77777777" w:rsidTr="00182DEE">
        <w:tc>
          <w:tcPr>
            <w:tcW w:w="265" w:type="pct"/>
            <w:shd w:val="clear" w:color="auto" w:fill="auto"/>
            <w:hideMark/>
          </w:tcPr>
          <w:p w14:paraId="71CDAC2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1.1.1.</w:t>
            </w:r>
          </w:p>
        </w:tc>
        <w:tc>
          <w:tcPr>
            <w:tcW w:w="993" w:type="pct"/>
            <w:shd w:val="clear" w:color="auto" w:fill="auto"/>
            <w:hideMark/>
          </w:tcPr>
          <w:p w14:paraId="7A5244DB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Обеспечение предоставления на безвозмездной основе консультационных услуг для субъектов предпринимательской деятельности (далее также – МСП)</w:t>
            </w:r>
          </w:p>
        </w:tc>
        <w:tc>
          <w:tcPr>
            <w:tcW w:w="315" w:type="pct"/>
            <w:shd w:val="clear" w:color="auto" w:fill="auto"/>
            <w:hideMark/>
          </w:tcPr>
          <w:p w14:paraId="41288CF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2022 – 2025 года</w:t>
            </w:r>
          </w:p>
          <w:p w14:paraId="4BB44F2C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hideMark/>
          </w:tcPr>
          <w:p w14:paraId="5F4E1F5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Количество</w:t>
            </w:r>
          </w:p>
          <w:p w14:paraId="5315ADC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субъектов МСП,</w:t>
            </w:r>
          </w:p>
          <w:p w14:paraId="01B80B8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получивших</w:t>
            </w:r>
          </w:p>
          <w:p w14:paraId="0C9EECEC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консультационные</w:t>
            </w:r>
          </w:p>
          <w:p w14:paraId="47F3DA0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услуги, </w:t>
            </w:r>
            <w:proofErr w:type="spellStart"/>
            <w:r w:rsidRPr="009814F1">
              <w:rPr>
                <w:sz w:val="22"/>
                <w:szCs w:val="22"/>
              </w:rPr>
              <w:t>тыс.ед</w:t>
            </w:r>
            <w:proofErr w:type="spellEnd"/>
            <w:r w:rsidRPr="009814F1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14:paraId="7100032A" w14:textId="77777777" w:rsidR="001629FF" w:rsidRPr="009814F1" w:rsidRDefault="001629FF" w:rsidP="00182DEE">
            <w:pPr>
              <w:ind w:right="-99"/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0,8</w:t>
            </w:r>
          </w:p>
        </w:tc>
        <w:tc>
          <w:tcPr>
            <w:tcW w:w="266" w:type="pct"/>
            <w:shd w:val="clear" w:color="auto" w:fill="auto"/>
          </w:tcPr>
          <w:p w14:paraId="288661D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0,85</w:t>
            </w:r>
          </w:p>
        </w:tc>
        <w:tc>
          <w:tcPr>
            <w:tcW w:w="273" w:type="pct"/>
            <w:shd w:val="clear" w:color="auto" w:fill="auto"/>
          </w:tcPr>
          <w:p w14:paraId="46651BA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0,9</w:t>
            </w:r>
          </w:p>
        </w:tc>
        <w:tc>
          <w:tcPr>
            <w:tcW w:w="272" w:type="pct"/>
            <w:shd w:val="clear" w:color="auto" w:fill="auto"/>
          </w:tcPr>
          <w:p w14:paraId="2FE28A4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0,95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20DF402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gridSpan w:val="5"/>
            <w:shd w:val="clear" w:color="auto" w:fill="auto"/>
            <w:hideMark/>
          </w:tcPr>
          <w:p w14:paraId="2FADC049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Обеспечение субъектов предпринимательской деятельности информационной, консультационной, юридической поддержкой по вопросам ведения деятельности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37B6845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  <w:r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 xml:space="preserve"> (далее - </w:t>
            </w:r>
            <w:r w:rsidRPr="00AE3E8A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Сектор по поддержке малого бизнеса</w:t>
            </w:r>
            <w:r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)</w:t>
            </w:r>
            <w:r w:rsidRPr="009814F1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, АНО «Шахунский центр развития бизнеса» (по согласованию)</w:t>
            </w:r>
          </w:p>
        </w:tc>
      </w:tr>
      <w:tr w:rsidR="001629FF" w:rsidRPr="009814F1" w14:paraId="1545DA29" w14:textId="77777777" w:rsidTr="00182DEE">
        <w:tc>
          <w:tcPr>
            <w:tcW w:w="265" w:type="pct"/>
            <w:shd w:val="clear" w:color="auto" w:fill="auto"/>
          </w:tcPr>
          <w:p w14:paraId="68F003D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735" w:type="pct"/>
            <w:gridSpan w:val="18"/>
            <w:shd w:val="clear" w:color="auto" w:fill="auto"/>
          </w:tcPr>
          <w:p w14:paraId="5AD0BF40" w14:textId="77777777" w:rsidR="001629FF" w:rsidRPr="009814F1" w:rsidRDefault="001629FF" w:rsidP="00182DEE">
            <w:pPr>
              <w:rPr>
                <w:rFonts w:eastAsia="Calibri"/>
                <w:kern w:val="2"/>
                <w:sz w:val="22"/>
                <w:szCs w:val="22"/>
                <w:lang w:eastAsia="zh-CN" w:bidi="hi-IN"/>
              </w:rPr>
            </w:pPr>
            <w:r w:rsidRPr="00034859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bookmarkEnd w:id="0"/>
      <w:tr w:rsidR="001629FF" w:rsidRPr="009814F1" w14:paraId="26DBCE49" w14:textId="77777777" w:rsidTr="00182DEE">
        <w:tc>
          <w:tcPr>
            <w:tcW w:w="265" w:type="pct"/>
            <w:hideMark/>
          </w:tcPr>
          <w:p w14:paraId="33CF1D8E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1.2.1.</w:t>
            </w:r>
          </w:p>
        </w:tc>
        <w:tc>
          <w:tcPr>
            <w:tcW w:w="993" w:type="pct"/>
            <w:hideMark/>
          </w:tcPr>
          <w:p w14:paraId="2BAD8F1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Анализ практики реализации государственных функций и услуг, относящихся к полномочиям субъекта Российской Федерации, а также муниципальных </w:t>
            </w:r>
            <w:r w:rsidRPr="009814F1">
              <w:rPr>
                <w:sz w:val="22"/>
                <w:szCs w:val="22"/>
              </w:rPr>
              <w:lastRenderedPageBreak/>
              <w:t>функций и услуг на предмет соответствия такой практики статьям 15 и 16 Федерального закона от 26 июля 2006 г. № 135-ФЗ «О защите конкуренции»</w:t>
            </w:r>
          </w:p>
        </w:tc>
        <w:tc>
          <w:tcPr>
            <w:tcW w:w="315" w:type="pct"/>
            <w:hideMark/>
          </w:tcPr>
          <w:p w14:paraId="3C56B879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726" w:type="pct"/>
            <w:hideMark/>
          </w:tcPr>
          <w:p w14:paraId="65EFDB5D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Число нарушений ОМСУ Федерального закона от 26 июля 2016 г. № 135-ФЗ «О защите конкуренции» (статьи 15 и 16), ед.</w:t>
            </w:r>
          </w:p>
        </w:tc>
        <w:tc>
          <w:tcPr>
            <w:tcW w:w="273" w:type="pct"/>
          </w:tcPr>
          <w:p w14:paraId="3DBF5DB8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14:paraId="717B3B0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14:paraId="1F936311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744C449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4"/>
          </w:tcPr>
          <w:p w14:paraId="2CF01E4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5"/>
          </w:tcPr>
          <w:p w14:paraId="12C6B0A9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Число нарушений органами исполнительной власти Нижегородской области и ОМСУ </w:t>
            </w:r>
            <w:r w:rsidRPr="009814F1">
              <w:rPr>
                <w:sz w:val="22"/>
                <w:szCs w:val="22"/>
              </w:rPr>
              <w:lastRenderedPageBreak/>
              <w:t>Федерального закона от 26 июля 2006 г. № 135-ФЗ «О защите конкуренции» (статьи 15 и 16) в 2025 году менее чем в 2020 году</w:t>
            </w:r>
          </w:p>
        </w:tc>
        <w:tc>
          <w:tcPr>
            <w:tcW w:w="652" w:type="pct"/>
            <w:gridSpan w:val="2"/>
          </w:tcPr>
          <w:p w14:paraId="6B740A93" w14:textId="77777777" w:rsidR="001629FF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Юридический отдел администрации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5E54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(далее – </w:t>
            </w:r>
            <w:r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Юридический отдел</w:t>
            </w:r>
            <w:r w:rsidRPr="005E54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)</w:t>
            </w:r>
            <w:r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, </w:t>
            </w:r>
            <w:r>
              <w:rPr>
                <w:sz w:val="22"/>
                <w:szCs w:val="22"/>
              </w:rPr>
              <w:t>О</w:t>
            </w:r>
            <w:r w:rsidRPr="00865ACD">
              <w:rPr>
                <w:sz w:val="22"/>
                <w:szCs w:val="22"/>
              </w:rPr>
              <w:t>тдел экономики, прогнозирования и инвестиционной политики администрации городского округа город Шахунья</w:t>
            </w:r>
            <w:r>
              <w:rPr>
                <w:sz w:val="22"/>
                <w:szCs w:val="22"/>
              </w:rPr>
              <w:t xml:space="preserve"> (далее – Отдел экономики) </w:t>
            </w:r>
          </w:p>
          <w:p w14:paraId="5DC698A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4FF0520D" w14:textId="77777777" w:rsidTr="00182DEE">
        <w:tc>
          <w:tcPr>
            <w:tcW w:w="265" w:type="pct"/>
          </w:tcPr>
          <w:p w14:paraId="59858B2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735" w:type="pct"/>
            <w:gridSpan w:val="18"/>
          </w:tcPr>
          <w:p w14:paraId="73383FB1" w14:textId="77777777" w:rsidR="001629FF" w:rsidRPr="009814F1" w:rsidRDefault="001629FF" w:rsidP="00182DEE">
            <w:pPr>
              <w:rPr>
                <w:sz w:val="22"/>
                <w:szCs w:val="22"/>
                <w:highlight w:val="yellow"/>
              </w:rPr>
            </w:pPr>
            <w:r w:rsidRPr="00034859">
              <w:rPr>
                <w:sz w:val="22"/>
                <w:szCs w:val="22"/>
              </w:rPr>
              <w:t>Совершенствование процессов управления в рамках полномочий органов местного самоуправления городского округа город Шахунья, закрепленных за ними законодательством Российской Федерации, муниципальной собственности, ограничение влияния муниципальных предприятий на конкуренцию</w:t>
            </w:r>
          </w:p>
        </w:tc>
      </w:tr>
      <w:tr w:rsidR="001629FF" w:rsidRPr="009814F1" w14:paraId="1A2B21F7" w14:textId="77777777" w:rsidTr="00182DEE">
        <w:tc>
          <w:tcPr>
            <w:tcW w:w="265" w:type="pct"/>
          </w:tcPr>
          <w:p w14:paraId="5188942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1.3.1.</w:t>
            </w:r>
          </w:p>
        </w:tc>
        <w:tc>
          <w:tcPr>
            <w:tcW w:w="993" w:type="pct"/>
          </w:tcPr>
          <w:p w14:paraId="7FA8E81F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Сокращение количества муниципальных предприятий на конкурентных рынках городского округа город Шахунья Нижегородской области</w:t>
            </w:r>
          </w:p>
        </w:tc>
        <w:tc>
          <w:tcPr>
            <w:tcW w:w="315" w:type="pct"/>
          </w:tcPr>
          <w:p w14:paraId="0DDDD77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2024 -2025 года</w:t>
            </w:r>
          </w:p>
        </w:tc>
        <w:tc>
          <w:tcPr>
            <w:tcW w:w="726" w:type="pct"/>
          </w:tcPr>
          <w:p w14:paraId="129EA601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Количество ликвидированных и реорганизованных муниципальных унитарных предприятий, ед.</w:t>
            </w:r>
          </w:p>
          <w:p w14:paraId="6B531E52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6EBF253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14:paraId="360307A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</w:tcPr>
          <w:p w14:paraId="2D4910F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14:paraId="671DC81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" w:type="pct"/>
            <w:gridSpan w:val="4"/>
          </w:tcPr>
          <w:p w14:paraId="7C93440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gridSpan w:val="5"/>
          </w:tcPr>
          <w:p w14:paraId="38A57033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Снижение влияния муниципальных предприятий на конкуренцию</w:t>
            </w:r>
          </w:p>
        </w:tc>
        <w:tc>
          <w:tcPr>
            <w:tcW w:w="652" w:type="pct"/>
            <w:gridSpan w:val="2"/>
          </w:tcPr>
          <w:p w14:paraId="3DCE1C16" w14:textId="77777777" w:rsidR="001629FF" w:rsidRPr="00D01EE3" w:rsidRDefault="001629FF" w:rsidP="00182DEE">
            <w:pPr>
              <w:jc w:val="center"/>
              <w:rPr>
                <w:sz w:val="22"/>
                <w:szCs w:val="22"/>
              </w:rPr>
            </w:pPr>
            <w:r w:rsidRPr="00D01EE3">
              <w:rPr>
                <w:sz w:val="22"/>
                <w:szCs w:val="22"/>
              </w:rPr>
              <w:t xml:space="preserve">Отдел муниципального имущества и земельных ресурсов городского округа город Шахунья (далее – Отдел муниципального имущества), </w:t>
            </w:r>
          </w:p>
          <w:p w14:paraId="27183D61" w14:textId="77777777" w:rsidR="001629FF" w:rsidRDefault="001629FF" w:rsidP="00182DEE">
            <w:pPr>
              <w:jc w:val="center"/>
              <w:rPr>
                <w:sz w:val="22"/>
                <w:szCs w:val="22"/>
              </w:rPr>
            </w:pPr>
            <w:r w:rsidRPr="00D01EE3">
              <w:rPr>
                <w:sz w:val="22"/>
                <w:szCs w:val="22"/>
              </w:rPr>
              <w:t>Отдел</w:t>
            </w:r>
            <w:r w:rsidRPr="005E547A">
              <w:rPr>
                <w:sz w:val="22"/>
                <w:szCs w:val="22"/>
              </w:rPr>
              <w:t xml:space="preserve"> промышленности, транспорта, связи, жилищно-коммунального хозяйства и энергетики городского округа город Шахунья</w:t>
            </w:r>
          </w:p>
          <w:p w14:paraId="67F76D5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(далее - Отдел промышленности), </w:t>
            </w:r>
            <w:r w:rsidRPr="00AE3E8A">
              <w:rPr>
                <w:rFonts w:eastAsia="Calibri"/>
                <w:kern w:val="2"/>
                <w:sz w:val="22"/>
                <w:szCs w:val="22"/>
                <w:lang w:eastAsia="zh-CN" w:bidi="hi-IN"/>
              </w:rPr>
              <w:t>Сектор по поддержке малого бизнеса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Ю</w:t>
            </w:r>
            <w:r w:rsidRPr="009814F1">
              <w:rPr>
                <w:sz w:val="22"/>
                <w:szCs w:val="22"/>
              </w:rPr>
              <w:t xml:space="preserve">ридический отдел </w:t>
            </w:r>
          </w:p>
        </w:tc>
      </w:tr>
      <w:tr w:rsidR="001629FF" w:rsidRPr="009814F1" w14:paraId="0B6E9317" w14:textId="77777777" w:rsidTr="00182DEE">
        <w:tc>
          <w:tcPr>
            <w:tcW w:w="265" w:type="pct"/>
          </w:tcPr>
          <w:p w14:paraId="03C2B569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993" w:type="pct"/>
          </w:tcPr>
          <w:p w14:paraId="5FB624DB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Составление плана-графика полной инвентаризации муниципального имущества, в том числе закрепленного за предприятиями и учреждениями</w:t>
            </w:r>
          </w:p>
        </w:tc>
        <w:tc>
          <w:tcPr>
            <w:tcW w:w="315" w:type="pct"/>
          </w:tcPr>
          <w:p w14:paraId="69B0C9BC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2024 -2025 года</w:t>
            </w:r>
          </w:p>
        </w:tc>
        <w:tc>
          <w:tcPr>
            <w:tcW w:w="726" w:type="pct"/>
          </w:tcPr>
          <w:p w14:paraId="3E382BE1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Планы-графики инвентаризации</w:t>
            </w:r>
          </w:p>
        </w:tc>
        <w:tc>
          <w:tcPr>
            <w:tcW w:w="273" w:type="pct"/>
            <w:vMerge w:val="restart"/>
          </w:tcPr>
          <w:p w14:paraId="0BF836E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66" w:type="pct"/>
            <w:vMerge w:val="restart"/>
          </w:tcPr>
          <w:p w14:paraId="4C5DE49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73" w:type="pct"/>
            <w:vMerge w:val="restart"/>
          </w:tcPr>
          <w:p w14:paraId="4916B3E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72" w:type="pct"/>
            <w:vMerge w:val="restart"/>
          </w:tcPr>
          <w:p w14:paraId="07001F87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gridSpan w:val="4"/>
            <w:vMerge w:val="restart"/>
          </w:tcPr>
          <w:p w14:paraId="2AC62E8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655" w:type="pct"/>
            <w:gridSpan w:val="5"/>
            <w:vMerge w:val="restart"/>
          </w:tcPr>
          <w:p w14:paraId="0FF3922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652" w:type="pct"/>
            <w:gridSpan w:val="2"/>
            <w:vMerge w:val="restart"/>
          </w:tcPr>
          <w:p w14:paraId="0E3B13A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Отдел муниципального имущества </w:t>
            </w:r>
          </w:p>
        </w:tc>
      </w:tr>
      <w:tr w:rsidR="001629FF" w:rsidRPr="009814F1" w14:paraId="67353AA1" w14:textId="77777777" w:rsidTr="00182DEE">
        <w:tc>
          <w:tcPr>
            <w:tcW w:w="265" w:type="pct"/>
          </w:tcPr>
          <w:p w14:paraId="2C0D988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1.3.3.</w:t>
            </w:r>
          </w:p>
        </w:tc>
        <w:tc>
          <w:tcPr>
            <w:tcW w:w="993" w:type="pct"/>
          </w:tcPr>
          <w:p w14:paraId="20A104E1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5" w:type="pct"/>
          </w:tcPr>
          <w:p w14:paraId="5C44E80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2024 -2025 года</w:t>
            </w:r>
          </w:p>
        </w:tc>
        <w:tc>
          <w:tcPr>
            <w:tcW w:w="726" w:type="pct"/>
          </w:tcPr>
          <w:p w14:paraId="5A87436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273" w:type="pct"/>
            <w:vMerge/>
          </w:tcPr>
          <w:p w14:paraId="1231392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</w:tcPr>
          <w:p w14:paraId="056A879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</w:tcPr>
          <w:p w14:paraId="62E0F12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</w:tcPr>
          <w:p w14:paraId="6A8FD5E1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vMerge/>
          </w:tcPr>
          <w:p w14:paraId="2B0D16D8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gridSpan w:val="5"/>
            <w:vMerge/>
          </w:tcPr>
          <w:p w14:paraId="30322AD8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Merge/>
          </w:tcPr>
          <w:p w14:paraId="0FA27A2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67E5DE7C" w14:textId="77777777" w:rsidTr="00182DEE">
        <w:tc>
          <w:tcPr>
            <w:tcW w:w="265" w:type="pct"/>
          </w:tcPr>
          <w:p w14:paraId="00171420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1.3.4.</w:t>
            </w:r>
          </w:p>
        </w:tc>
        <w:tc>
          <w:tcPr>
            <w:tcW w:w="993" w:type="pct"/>
          </w:tcPr>
          <w:p w14:paraId="106BB6BE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Включение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в программу приватизации или план по перепрофилированию (изменению целевого назначения) муниципального имущества</w:t>
            </w:r>
          </w:p>
        </w:tc>
        <w:tc>
          <w:tcPr>
            <w:tcW w:w="315" w:type="pct"/>
          </w:tcPr>
          <w:p w14:paraId="0F4E4376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2024 -2025 года</w:t>
            </w:r>
          </w:p>
        </w:tc>
        <w:tc>
          <w:tcPr>
            <w:tcW w:w="726" w:type="pct"/>
          </w:tcPr>
          <w:p w14:paraId="487EBBFC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Планы приватизации и/или планы по перепрофилированию (изменению целевого назначения) муниципального имущества</w:t>
            </w:r>
          </w:p>
        </w:tc>
        <w:tc>
          <w:tcPr>
            <w:tcW w:w="273" w:type="pct"/>
          </w:tcPr>
          <w:p w14:paraId="40FE8A1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66" w:type="pct"/>
          </w:tcPr>
          <w:p w14:paraId="00041F9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73" w:type="pct"/>
          </w:tcPr>
          <w:p w14:paraId="393CED8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нет</w:t>
            </w:r>
          </w:p>
        </w:tc>
        <w:tc>
          <w:tcPr>
            <w:tcW w:w="272" w:type="pct"/>
          </w:tcPr>
          <w:p w14:paraId="717014D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gridSpan w:val="4"/>
          </w:tcPr>
          <w:p w14:paraId="73DBDBBC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655" w:type="pct"/>
            <w:gridSpan w:val="5"/>
          </w:tcPr>
          <w:p w14:paraId="5489A98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652" w:type="pct"/>
            <w:gridSpan w:val="2"/>
            <w:vMerge/>
          </w:tcPr>
          <w:p w14:paraId="40390E4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3C56B249" w14:textId="77777777" w:rsidTr="00182DEE">
        <w:tc>
          <w:tcPr>
            <w:tcW w:w="265" w:type="pct"/>
          </w:tcPr>
          <w:p w14:paraId="78951E53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5</w:t>
            </w:r>
            <w:r w:rsidRPr="009814F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</w:tcPr>
          <w:p w14:paraId="0BB949D8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Организация и проведение публичных торгов по реализации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перепрофилирование (изменению целевого назначения) муниципального имущества</w:t>
            </w:r>
          </w:p>
        </w:tc>
        <w:tc>
          <w:tcPr>
            <w:tcW w:w="315" w:type="pct"/>
          </w:tcPr>
          <w:p w14:paraId="5E52A854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2024 -2025 года</w:t>
            </w:r>
          </w:p>
        </w:tc>
        <w:tc>
          <w:tcPr>
            <w:tcW w:w="726" w:type="pct"/>
          </w:tcPr>
          <w:p w14:paraId="2410759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Отчеты об итогах исполнения планов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г. № 806</w:t>
            </w:r>
            <w:r>
              <w:rPr>
                <w:sz w:val="22"/>
                <w:szCs w:val="22"/>
              </w:rPr>
              <w:t>, % исполнения плана</w:t>
            </w:r>
          </w:p>
        </w:tc>
        <w:tc>
          <w:tcPr>
            <w:tcW w:w="273" w:type="pct"/>
          </w:tcPr>
          <w:p w14:paraId="267BB18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</w:tcPr>
          <w:p w14:paraId="7255ED5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658015E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7DD40D6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50</w:t>
            </w:r>
          </w:p>
        </w:tc>
        <w:tc>
          <w:tcPr>
            <w:tcW w:w="310" w:type="pct"/>
            <w:gridSpan w:val="4"/>
          </w:tcPr>
          <w:p w14:paraId="4B13699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100</w:t>
            </w:r>
          </w:p>
        </w:tc>
        <w:tc>
          <w:tcPr>
            <w:tcW w:w="655" w:type="pct"/>
            <w:gridSpan w:val="5"/>
          </w:tcPr>
          <w:p w14:paraId="42C65D75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Снижение неэффективности использования муниципального имущества</w:t>
            </w:r>
          </w:p>
        </w:tc>
        <w:tc>
          <w:tcPr>
            <w:tcW w:w="652" w:type="pct"/>
            <w:gridSpan w:val="2"/>
            <w:vMerge/>
          </w:tcPr>
          <w:p w14:paraId="4EFC33A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1288F6A4" w14:textId="77777777" w:rsidTr="00182DEE">
        <w:tc>
          <w:tcPr>
            <w:tcW w:w="265" w:type="pct"/>
            <w:hideMark/>
          </w:tcPr>
          <w:p w14:paraId="650276D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>6</w:t>
            </w:r>
            <w:r w:rsidRPr="009814F1"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shd w:val="clear" w:color="auto" w:fill="FFFFFF"/>
            <w:hideMark/>
          </w:tcPr>
          <w:p w14:paraId="2A959AD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315" w:type="pct"/>
            <w:shd w:val="clear" w:color="auto" w:fill="FFFFFF"/>
            <w:hideMark/>
          </w:tcPr>
          <w:p w14:paraId="48617B80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FFFFFF"/>
            <w:hideMark/>
          </w:tcPr>
          <w:p w14:paraId="5ECBB81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273" w:type="pct"/>
            <w:shd w:val="clear" w:color="auto" w:fill="FFFFFF"/>
          </w:tcPr>
          <w:p w14:paraId="486214FC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Постоянно</w:t>
            </w:r>
          </w:p>
        </w:tc>
        <w:tc>
          <w:tcPr>
            <w:tcW w:w="266" w:type="pct"/>
            <w:shd w:val="clear" w:color="auto" w:fill="FFFFFF"/>
            <w:hideMark/>
          </w:tcPr>
          <w:p w14:paraId="75CBDE1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Постоянно</w:t>
            </w:r>
          </w:p>
        </w:tc>
        <w:tc>
          <w:tcPr>
            <w:tcW w:w="273" w:type="pct"/>
            <w:shd w:val="clear" w:color="auto" w:fill="FFFFFF"/>
          </w:tcPr>
          <w:p w14:paraId="2913EA5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Постоянно</w:t>
            </w:r>
          </w:p>
        </w:tc>
        <w:tc>
          <w:tcPr>
            <w:tcW w:w="272" w:type="pct"/>
            <w:shd w:val="clear" w:color="auto" w:fill="FFFFFF"/>
          </w:tcPr>
          <w:p w14:paraId="7C11679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Постоянно</w:t>
            </w:r>
          </w:p>
        </w:tc>
        <w:tc>
          <w:tcPr>
            <w:tcW w:w="310" w:type="pct"/>
            <w:gridSpan w:val="4"/>
            <w:shd w:val="clear" w:color="auto" w:fill="FFFFFF"/>
          </w:tcPr>
          <w:p w14:paraId="42BEF15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Постоянно</w:t>
            </w:r>
          </w:p>
        </w:tc>
        <w:tc>
          <w:tcPr>
            <w:tcW w:w="655" w:type="pct"/>
            <w:gridSpan w:val="5"/>
            <w:shd w:val="clear" w:color="auto" w:fill="FFFFFF"/>
            <w:hideMark/>
          </w:tcPr>
          <w:p w14:paraId="323DF538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652" w:type="pct"/>
            <w:gridSpan w:val="2"/>
            <w:vMerge/>
            <w:shd w:val="clear" w:color="auto" w:fill="FFFFFF"/>
            <w:hideMark/>
          </w:tcPr>
          <w:p w14:paraId="0DF531E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0223E4C3" w14:textId="77777777" w:rsidTr="00182DEE">
        <w:tc>
          <w:tcPr>
            <w:tcW w:w="265" w:type="pct"/>
          </w:tcPr>
          <w:p w14:paraId="2B6AA521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735" w:type="pct"/>
            <w:gridSpan w:val="18"/>
            <w:shd w:val="clear" w:color="auto" w:fill="FFFFFF"/>
          </w:tcPr>
          <w:p w14:paraId="354DBBA1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C272A3">
              <w:rPr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629FF" w:rsidRPr="009814F1" w14:paraId="2E69CE32" w14:textId="77777777" w:rsidTr="00182DEE">
        <w:tc>
          <w:tcPr>
            <w:tcW w:w="265" w:type="pct"/>
            <w:hideMark/>
          </w:tcPr>
          <w:p w14:paraId="360BB51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1.4.1.</w:t>
            </w:r>
          </w:p>
        </w:tc>
        <w:tc>
          <w:tcPr>
            <w:tcW w:w="993" w:type="pct"/>
            <w:shd w:val="clear" w:color="auto" w:fill="FFFFFF"/>
            <w:hideMark/>
          </w:tcPr>
          <w:p w14:paraId="7A2E887F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Анализ целевого использования муниципальных объектов недвижимого имущества, выявление неиспользуемых по </w:t>
            </w:r>
            <w:r w:rsidRPr="009814F1">
              <w:rPr>
                <w:sz w:val="22"/>
                <w:szCs w:val="22"/>
              </w:rPr>
              <w:lastRenderedPageBreak/>
              <w:t>назначению объектов социальной сферы, их передача немуниципальным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315" w:type="pct"/>
            <w:shd w:val="clear" w:color="auto" w:fill="FFFFFF"/>
            <w:hideMark/>
          </w:tcPr>
          <w:p w14:paraId="663764DF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726" w:type="pct"/>
            <w:shd w:val="clear" w:color="auto" w:fill="FFFFFF"/>
            <w:hideMark/>
          </w:tcPr>
          <w:p w14:paraId="7625BF3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Доля государственных (муниципальных) объектов недвижимого </w:t>
            </w:r>
            <w:r w:rsidRPr="009814F1">
              <w:rPr>
                <w:sz w:val="22"/>
                <w:szCs w:val="22"/>
              </w:rPr>
              <w:lastRenderedPageBreak/>
              <w:t>имущества, используемых по назначению, %</w:t>
            </w:r>
          </w:p>
        </w:tc>
        <w:tc>
          <w:tcPr>
            <w:tcW w:w="273" w:type="pct"/>
            <w:shd w:val="clear" w:color="auto" w:fill="FFFFFF"/>
          </w:tcPr>
          <w:p w14:paraId="212572A8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66" w:type="pct"/>
            <w:shd w:val="clear" w:color="auto" w:fill="FFFFFF"/>
            <w:hideMark/>
          </w:tcPr>
          <w:p w14:paraId="34AC4A3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shd w:val="clear" w:color="auto" w:fill="FFFFFF"/>
            <w:hideMark/>
          </w:tcPr>
          <w:p w14:paraId="50A7AF6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FFFFFF"/>
            <w:hideMark/>
          </w:tcPr>
          <w:p w14:paraId="4C015F62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gridSpan w:val="4"/>
            <w:shd w:val="clear" w:color="auto" w:fill="FFFFFF"/>
            <w:hideMark/>
          </w:tcPr>
          <w:p w14:paraId="6BB4FF5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100</w:t>
            </w:r>
          </w:p>
        </w:tc>
        <w:tc>
          <w:tcPr>
            <w:tcW w:w="655" w:type="pct"/>
            <w:gridSpan w:val="5"/>
            <w:shd w:val="clear" w:color="auto" w:fill="FFFFFF"/>
            <w:hideMark/>
          </w:tcPr>
          <w:p w14:paraId="19B4135B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Создание условий для привлечения негосударственных организаций в </w:t>
            </w:r>
            <w:r w:rsidRPr="009814F1">
              <w:rPr>
                <w:sz w:val="22"/>
                <w:szCs w:val="22"/>
              </w:rPr>
              <w:lastRenderedPageBreak/>
              <w:t>сферу оказания социальных услуг</w:t>
            </w:r>
          </w:p>
        </w:tc>
        <w:tc>
          <w:tcPr>
            <w:tcW w:w="652" w:type="pct"/>
            <w:gridSpan w:val="2"/>
            <w:shd w:val="clear" w:color="auto" w:fill="FFFFFF"/>
          </w:tcPr>
          <w:p w14:paraId="2C575BC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 xml:space="preserve">Отдел муниципального имущества </w:t>
            </w:r>
          </w:p>
        </w:tc>
      </w:tr>
      <w:tr w:rsidR="001629FF" w:rsidRPr="009814F1" w14:paraId="30C38B9F" w14:textId="77777777" w:rsidTr="00182DEE">
        <w:tc>
          <w:tcPr>
            <w:tcW w:w="265" w:type="pct"/>
          </w:tcPr>
          <w:p w14:paraId="2C181E45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735" w:type="pct"/>
            <w:gridSpan w:val="18"/>
            <w:shd w:val="clear" w:color="auto" w:fill="FFFFFF"/>
          </w:tcPr>
          <w:p w14:paraId="344E0932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C272A3">
              <w:rPr>
                <w:sz w:val="22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</w:t>
            </w:r>
          </w:p>
        </w:tc>
      </w:tr>
      <w:tr w:rsidR="001629FF" w:rsidRPr="009814F1" w14:paraId="08209F58" w14:textId="77777777" w:rsidTr="00182DEE">
        <w:tc>
          <w:tcPr>
            <w:tcW w:w="265" w:type="pct"/>
            <w:hideMark/>
          </w:tcPr>
          <w:p w14:paraId="58D01F0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9814F1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hideMark/>
          </w:tcPr>
          <w:p w14:paraId="43439906" w14:textId="77777777" w:rsidR="001629FF" w:rsidRPr="009814F1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4F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видам спорта, областных конкурсов детского и юношеского </w:t>
            </w:r>
            <w:proofErr w:type="spellStart"/>
            <w:r w:rsidRPr="009814F1">
              <w:rPr>
                <w:rFonts w:ascii="Times New Roman" w:hAnsi="Times New Roman" w:cs="Times New Roman"/>
                <w:sz w:val="22"/>
                <w:szCs w:val="22"/>
              </w:rPr>
              <w:t>медиатворчества</w:t>
            </w:r>
            <w:proofErr w:type="spellEnd"/>
            <w:r w:rsidRPr="009814F1">
              <w:rPr>
                <w:rFonts w:ascii="Times New Roman" w:hAnsi="Times New Roman" w:cs="Times New Roman"/>
                <w:sz w:val="22"/>
                <w:szCs w:val="22"/>
              </w:rPr>
              <w:t>, информационных технологий, регионального фестиваля «</w:t>
            </w:r>
            <w:proofErr w:type="spellStart"/>
            <w:r w:rsidRPr="009814F1">
              <w:rPr>
                <w:rFonts w:ascii="Times New Roman" w:hAnsi="Times New Roman" w:cs="Times New Roman"/>
                <w:sz w:val="22"/>
                <w:szCs w:val="22"/>
              </w:rPr>
              <w:t>РобоФест</w:t>
            </w:r>
            <w:proofErr w:type="spellEnd"/>
            <w:r w:rsidRPr="009814F1">
              <w:rPr>
                <w:rFonts w:ascii="Times New Roman" w:hAnsi="Times New Roman" w:cs="Times New Roman"/>
                <w:sz w:val="22"/>
                <w:szCs w:val="22"/>
              </w:rPr>
              <w:t>-НН»</w:t>
            </w:r>
          </w:p>
          <w:p w14:paraId="13526595" w14:textId="77777777" w:rsidR="001629FF" w:rsidRPr="009814F1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hideMark/>
          </w:tcPr>
          <w:p w14:paraId="5B0FB5E8" w14:textId="77777777" w:rsidR="001629FF" w:rsidRPr="009814F1" w:rsidRDefault="001629FF" w:rsidP="00182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4F1">
              <w:rPr>
                <w:rFonts w:ascii="Times New Roman" w:hAnsi="Times New Roman" w:cs="Times New Roman"/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hideMark/>
          </w:tcPr>
          <w:p w14:paraId="04C268A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273" w:type="pct"/>
          </w:tcPr>
          <w:p w14:paraId="3135098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212</w:t>
            </w:r>
          </w:p>
        </w:tc>
        <w:tc>
          <w:tcPr>
            <w:tcW w:w="266" w:type="pct"/>
          </w:tcPr>
          <w:p w14:paraId="5ABAA75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464</w:t>
            </w:r>
          </w:p>
        </w:tc>
        <w:tc>
          <w:tcPr>
            <w:tcW w:w="273" w:type="pct"/>
          </w:tcPr>
          <w:p w14:paraId="45B218F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568</w:t>
            </w:r>
          </w:p>
        </w:tc>
        <w:tc>
          <w:tcPr>
            <w:tcW w:w="272" w:type="pct"/>
          </w:tcPr>
          <w:p w14:paraId="5C7447D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662</w:t>
            </w:r>
          </w:p>
        </w:tc>
        <w:tc>
          <w:tcPr>
            <w:tcW w:w="310" w:type="pct"/>
            <w:gridSpan w:val="4"/>
          </w:tcPr>
          <w:p w14:paraId="73F5F9D2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769</w:t>
            </w:r>
          </w:p>
        </w:tc>
        <w:tc>
          <w:tcPr>
            <w:tcW w:w="655" w:type="pct"/>
            <w:gridSpan w:val="5"/>
            <w:hideMark/>
          </w:tcPr>
          <w:p w14:paraId="3E7DD5E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652" w:type="pct"/>
            <w:gridSpan w:val="2"/>
            <w:hideMark/>
          </w:tcPr>
          <w:p w14:paraId="7C83552E" w14:textId="77777777" w:rsidR="001629FF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9814F1">
              <w:rPr>
                <w:sz w:val="22"/>
                <w:szCs w:val="22"/>
              </w:rPr>
              <w:t>администрации городского округа город Шахунья</w:t>
            </w:r>
          </w:p>
          <w:p w14:paraId="5567BF3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(далее- Управление образования)</w:t>
            </w:r>
          </w:p>
        </w:tc>
      </w:tr>
      <w:tr w:rsidR="001629FF" w:rsidRPr="009814F1" w14:paraId="759BC94D" w14:textId="77777777" w:rsidTr="00182DEE">
        <w:tc>
          <w:tcPr>
            <w:tcW w:w="265" w:type="pct"/>
          </w:tcPr>
          <w:p w14:paraId="668DA312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735" w:type="pct"/>
            <w:gridSpan w:val="18"/>
          </w:tcPr>
          <w:p w14:paraId="62B5DAE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C272A3">
              <w:rPr>
                <w:sz w:val="22"/>
                <w:szCs w:val="22"/>
              </w:rPr>
              <w:t>Обеспечение равных условий доступа к информации об имуществе, находящемся в собственности городского округа город Шахунья</w:t>
            </w:r>
          </w:p>
        </w:tc>
      </w:tr>
      <w:tr w:rsidR="001629FF" w:rsidRPr="009814F1" w14:paraId="0B8F98D1" w14:textId="77777777" w:rsidTr="00182DEE">
        <w:tc>
          <w:tcPr>
            <w:tcW w:w="265" w:type="pct"/>
            <w:hideMark/>
          </w:tcPr>
          <w:p w14:paraId="748672B3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9814F1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hideMark/>
          </w:tcPr>
          <w:p w14:paraId="64EB343D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Размещение информации о реализации имущества, находящегося в муниципальной собственности, а также о предоставлении его в аренду в средствах массовой </w:t>
            </w:r>
            <w:r w:rsidRPr="009814F1">
              <w:rPr>
                <w:sz w:val="22"/>
                <w:szCs w:val="22"/>
              </w:rPr>
              <w:lastRenderedPageBreak/>
              <w:t xml:space="preserve">информации, в том числе в информационно-телекоммуникационной сети «Интернет» (далее – сеть «Интернет») </w:t>
            </w:r>
          </w:p>
        </w:tc>
        <w:tc>
          <w:tcPr>
            <w:tcW w:w="315" w:type="pct"/>
            <w:hideMark/>
          </w:tcPr>
          <w:p w14:paraId="2E3FE1B3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726" w:type="pct"/>
            <w:hideMark/>
          </w:tcPr>
          <w:p w14:paraId="63C26C30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</w:t>
            </w:r>
            <w:r w:rsidRPr="009814F1">
              <w:rPr>
                <w:sz w:val="22"/>
                <w:szCs w:val="22"/>
              </w:rPr>
              <w:lastRenderedPageBreak/>
              <w:t>продаже или предоставлению имущества в аренду</w:t>
            </w:r>
          </w:p>
        </w:tc>
        <w:tc>
          <w:tcPr>
            <w:tcW w:w="273" w:type="pct"/>
          </w:tcPr>
          <w:p w14:paraId="34BD575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266" w:type="pct"/>
            <w:hideMark/>
          </w:tcPr>
          <w:p w14:paraId="5ECB64C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  <w:hideMark/>
          </w:tcPr>
          <w:p w14:paraId="3BE6733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2" w:type="pct"/>
            <w:hideMark/>
          </w:tcPr>
          <w:p w14:paraId="12DF2362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gridSpan w:val="4"/>
            <w:hideMark/>
          </w:tcPr>
          <w:p w14:paraId="155D19A1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655" w:type="pct"/>
            <w:gridSpan w:val="5"/>
            <w:vMerge w:val="restart"/>
            <w:hideMark/>
          </w:tcPr>
          <w:p w14:paraId="2FAD03B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Повышение прозрачности и обеспечение равного доступа к информации об объектах, находящихся в </w:t>
            </w:r>
            <w:r w:rsidRPr="009814F1">
              <w:rPr>
                <w:sz w:val="22"/>
                <w:szCs w:val="22"/>
              </w:rPr>
              <w:lastRenderedPageBreak/>
              <w:t xml:space="preserve">собственности городского округа город Шахунья Нижегородской области </w:t>
            </w:r>
          </w:p>
        </w:tc>
        <w:tc>
          <w:tcPr>
            <w:tcW w:w="652" w:type="pct"/>
            <w:gridSpan w:val="2"/>
            <w:vMerge w:val="restart"/>
          </w:tcPr>
          <w:p w14:paraId="1B744F3C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 xml:space="preserve">Отдел муниципального имущества </w:t>
            </w:r>
          </w:p>
          <w:p w14:paraId="58107CC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3E73F088" w14:textId="77777777" w:rsidTr="00182DEE">
        <w:tc>
          <w:tcPr>
            <w:tcW w:w="265" w:type="pct"/>
            <w:hideMark/>
          </w:tcPr>
          <w:p w14:paraId="1EE63815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9814F1">
              <w:rPr>
                <w:sz w:val="22"/>
                <w:szCs w:val="22"/>
              </w:rPr>
              <w:t>.2.</w:t>
            </w:r>
          </w:p>
        </w:tc>
        <w:tc>
          <w:tcPr>
            <w:tcW w:w="993" w:type="pct"/>
            <w:shd w:val="clear" w:color="auto" w:fill="FFFFFF"/>
            <w:hideMark/>
          </w:tcPr>
          <w:p w14:paraId="0102534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Обеспечение опубликования и актуализации в сети «Интернет» информации об 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городского округа город Шахунья</w:t>
            </w:r>
          </w:p>
        </w:tc>
        <w:tc>
          <w:tcPr>
            <w:tcW w:w="315" w:type="pct"/>
            <w:shd w:val="clear" w:color="auto" w:fill="FFFFFF"/>
            <w:hideMark/>
          </w:tcPr>
          <w:p w14:paraId="51416F82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FFFFFF"/>
            <w:hideMark/>
          </w:tcPr>
          <w:p w14:paraId="565FA83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Размещение на официальном сайте городского округа город Шахунья в сети «Интернет» актуальной информации об объектах, находящихся в муниципальной собственности </w:t>
            </w:r>
          </w:p>
        </w:tc>
        <w:tc>
          <w:tcPr>
            <w:tcW w:w="273" w:type="pct"/>
            <w:shd w:val="clear" w:color="auto" w:fill="FFFFFF"/>
          </w:tcPr>
          <w:p w14:paraId="2EC5310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66" w:type="pct"/>
            <w:shd w:val="clear" w:color="auto" w:fill="FFFFFF"/>
            <w:hideMark/>
          </w:tcPr>
          <w:p w14:paraId="5DF7AF37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  <w:shd w:val="clear" w:color="auto" w:fill="FFFFFF"/>
            <w:hideMark/>
          </w:tcPr>
          <w:p w14:paraId="0209B59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2" w:type="pct"/>
            <w:shd w:val="clear" w:color="auto" w:fill="FFFFFF"/>
            <w:hideMark/>
          </w:tcPr>
          <w:p w14:paraId="4988F95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gridSpan w:val="4"/>
            <w:shd w:val="clear" w:color="auto" w:fill="FFFFFF"/>
            <w:hideMark/>
          </w:tcPr>
          <w:p w14:paraId="26D2460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655" w:type="pct"/>
            <w:gridSpan w:val="5"/>
            <w:vMerge/>
            <w:vAlign w:val="center"/>
            <w:hideMark/>
          </w:tcPr>
          <w:p w14:paraId="6BD4D5E7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Merge/>
            <w:shd w:val="clear" w:color="auto" w:fill="FFFFFF"/>
          </w:tcPr>
          <w:p w14:paraId="5F1EDF9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296A037F" w14:textId="77777777" w:rsidTr="00182DEE">
        <w:tc>
          <w:tcPr>
            <w:tcW w:w="265" w:type="pct"/>
            <w:hideMark/>
          </w:tcPr>
          <w:p w14:paraId="00DF5AFD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9814F1">
              <w:rPr>
                <w:sz w:val="22"/>
                <w:szCs w:val="22"/>
              </w:rPr>
              <w:t>.3.</w:t>
            </w:r>
          </w:p>
        </w:tc>
        <w:tc>
          <w:tcPr>
            <w:tcW w:w="993" w:type="pct"/>
            <w:shd w:val="clear" w:color="auto" w:fill="FFFFFF"/>
            <w:hideMark/>
          </w:tcPr>
          <w:p w14:paraId="13B25DA0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 xml:space="preserve">Обеспечение опубликования и актуализации в сети «Интернет» информации об имуществе, находящемся в собственности городского округа город Шахунья,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 </w:t>
            </w:r>
          </w:p>
        </w:tc>
        <w:tc>
          <w:tcPr>
            <w:tcW w:w="315" w:type="pct"/>
            <w:shd w:val="clear" w:color="auto" w:fill="FFFFFF"/>
            <w:hideMark/>
          </w:tcPr>
          <w:p w14:paraId="3CBE8211" w14:textId="77777777" w:rsidR="001629FF" w:rsidRPr="009814F1" w:rsidRDefault="001629FF" w:rsidP="00182DEE">
            <w:pPr>
              <w:jc w:val="both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FFFFFF"/>
            <w:hideMark/>
          </w:tcPr>
          <w:p w14:paraId="73909B5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Размещение и актуализация информации об имуществе, находящемся в собственности муниципальных образований на официальном сайте администрации городского округа город Шахунья в сети «Интернет»</w:t>
            </w:r>
          </w:p>
        </w:tc>
        <w:tc>
          <w:tcPr>
            <w:tcW w:w="273" w:type="pct"/>
            <w:shd w:val="clear" w:color="auto" w:fill="FFFFFF"/>
          </w:tcPr>
          <w:p w14:paraId="0DA3E34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66" w:type="pct"/>
            <w:shd w:val="clear" w:color="auto" w:fill="FFFFFF"/>
            <w:hideMark/>
          </w:tcPr>
          <w:p w14:paraId="6351B9E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3" w:type="pct"/>
            <w:shd w:val="clear" w:color="auto" w:fill="FFFFFF"/>
            <w:hideMark/>
          </w:tcPr>
          <w:p w14:paraId="5156DBB1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272" w:type="pct"/>
            <w:shd w:val="clear" w:color="auto" w:fill="FFFFFF"/>
            <w:hideMark/>
          </w:tcPr>
          <w:p w14:paraId="0C36F54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310" w:type="pct"/>
            <w:gridSpan w:val="4"/>
            <w:shd w:val="clear" w:color="auto" w:fill="FFFFFF"/>
            <w:hideMark/>
          </w:tcPr>
          <w:p w14:paraId="336CBF2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да</w:t>
            </w:r>
          </w:p>
        </w:tc>
        <w:tc>
          <w:tcPr>
            <w:tcW w:w="655" w:type="pct"/>
            <w:gridSpan w:val="5"/>
            <w:vMerge/>
            <w:vAlign w:val="center"/>
            <w:hideMark/>
          </w:tcPr>
          <w:p w14:paraId="6DEDCF2C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gridSpan w:val="2"/>
            <w:vMerge/>
            <w:shd w:val="clear" w:color="auto" w:fill="FFFFFF"/>
            <w:hideMark/>
          </w:tcPr>
          <w:p w14:paraId="5731B7E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35DBEB76" w14:textId="77777777" w:rsidTr="00182DEE">
        <w:tc>
          <w:tcPr>
            <w:tcW w:w="265" w:type="pct"/>
          </w:tcPr>
          <w:p w14:paraId="6314F767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735" w:type="pct"/>
            <w:gridSpan w:val="18"/>
            <w:shd w:val="clear" w:color="auto" w:fill="FFFFFF"/>
          </w:tcPr>
          <w:p w14:paraId="36640335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C272A3">
              <w:rPr>
                <w:sz w:val="22"/>
                <w:szCs w:val="22"/>
              </w:rPr>
              <w:t>Мероприятия, направленные на создание благоприятных условий для ведения предпринимательской деятельности в сфере образования</w:t>
            </w:r>
          </w:p>
        </w:tc>
      </w:tr>
      <w:tr w:rsidR="001629FF" w:rsidRPr="009814F1" w14:paraId="34C9B402" w14:textId="77777777" w:rsidTr="00182DEE">
        <w:tc>
          <w:tcPr>
            <w:tcW w:w="265" w:type="pct"/>
            <w:hideMark/>
          </w:tcPr>
          <w:p w14:paraId="50E4D439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9814F1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hideMark/>
          </w:tcPr>
          <w:p w14:paraId="75AE7E0C" w14:textId="77777777" w:rsidR="001629FF" w:rsidRPr="009814F1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предложений по расширению видов поддержки негосударственных организаций, реализующих </w:t>
            </w:r>
            <w:r w:rsidRPr="00D64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дошкольного, общего и среднего профессионального образования (в том числе по предоставлению льготных ставок налога на имущество)</w:t>
            </w:r>
          </w:p>
        </w:tc>
        <w:tc>
          <w:tcPr>
            <w:tcW w:w="315" w:type="pct"/>
            <w:hideMark/>
          </w:tcPr>
          <w:p w14:paraId="42268F6A" w14:textId="77777777" w:rsidR="001629FF" w:rsidRPr="009814F1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4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726" w:type="pct"/>
            <w:hideMark/>
          </w:tcPr>
          <w:p w14:paraId="5C58B57D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D6435D">
              <w:rPr>
                <w:sz w:val="22"/>
                <w:szCs w:val="22"/>
              </w:rPr>
              <w:t xml:space="preserve">Нормативный правовой акт (в случае принятия </w:t>
            </w:r>
            <w:r w:rsidRPr="00D6435D">
              <w:rPr>
                <w:sz w:val="22"/>
                <w:szCs w:val="22"/>
              </w:rPr>
              <w:lastRenderedPageBreak/>
              <w:t>положительного решения)</w:t>
            </w:r>
          </w:p>
        </w:tc>
        <w:tc>
          <w:tcPr>
            <w:tcW w:w="273" w:type="pct"/>
          </w:tcPr>
          <w:p w14:paraId="5237706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66" w:type="pct"/>
          </w:tcPr>
          <w:p w14:paraId="33DFD9C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2DB2E0F7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426D419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</w:tcPr>
          <w:p w14:paraId="747B14B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5"/>
            <w:hideMark/>
          </w:tcPr>
          <w:p w14:paraId="30D7049B" w14:textId="77777777" w:rsidR="001629FF" w:rsidRPr="00D6435D" w:rsidRDefault="001629FF" w:rsidP="00182DEE">
            <w:pPr>
              <w:rPr>
                <w:sz w:val="22"/>
                <w:szCs w:val="22"/>
              </w:rPr>
            </w:pPr>
            <w:r w:rsidRPr="00D6435D">
              <w:rPr>
                <w:sz w:val="22"/>
                <w:szCs w:val="22"/>
              </w:rPr>
              <w:t xml:space="preserve">Увеличение числа негосударственных образовательных организаций, </w:t>
            </w:r>
            <w:r w:rsidRPr="00D6435D">
              <w:rPr>
                <w:sz w:val="22"/>
                <w:szCs w:val="22"/>
              </w:rPr>
              <w:lastRenderedPageBreak/>
              <w:t>реализующих программы дошкольного, общего и среднего профессионального образования.</w:t>
            </w:r>
          </w:p>
          <w:p w14:paraId="43D86A7A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D6435D">
              <w:rPr>
                <w:sz w:val="22"/>
                <w:szCs w:val="22"/>
              </w:rPr>
              <w:t>Повышение качества услуг в сфере образования</w:t>
            </w:r>
          </w:p>
        </w:tc>
        <w:tc>
          <w:tcPr>
            <w:tcW w:w="652" w:type="pct"/>
            <w:gridSpan w:val="2"/>
            <w:vMerge w:val="restart"/>
            <w:hideMark/>
          </w:tcPr>
          <w:p w14:paraId="60799EB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lastRenderedPageBreak/>
              <w:t>Управление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29FF" w:rsidRPr="009814F1" w14:paraId="704E0A93" w14:textId="77777777" w:rsidTr="00182DEE">
        <w:tc>
          <w:tcPr>
            <w:tcW w:w="265" w:type="pct"/>
          </w:tcPr>
          <w:p w14:paraId="390B840C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993" w:type="pct"/>
          </w:tcPr>
          <w:p w14:paraId="09D5999A" w14:textId="77777777" w:rsidR="001629FF" w:rsidRPr="00D6435D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5D">
              <w:rPr>
                <w:rFonts w:ascii="Times New Roman" w:hAnsi="Times New Roman" w:cs="Times New Roman"/>
                <w:sz w:val="22"/>
                <w:szCs w:val="22"/>
              </w:rPr>
              <w:t>Организация и ведение открытого реестра выданных муниципальных преференций образовательным организациям</w:t>
            </w:r>
          </w:p>
        </w:tc>
        <w:tc>
          <w:tcPr>
            <w:tcW w:w="315" w:type="pct"/>
          </w:tcPr>
          <w:p w14:paraId="6272693B" w14:textId="77777777" w:rsidR="001629FF" w:rsidRPr="00D6435D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5D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726" w:type="pct"/>
          </w:tcPr>
          <w:p w14:paraId="5A3BF6CA" w14:textId="77777777" w:rsidR="001629FF" w:rsidRPr="00D6435D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5D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273" w:type="pct"/>
          </w:tcPr>
          <w:p w14:paraId="497794F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</w:tcPr>
          <w:p w14:paraId="0B9AFC6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53D112F8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16D185FE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</w:tcPr>
          <w:p w14:paraId="7F0E293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5"/>
          </w:tcPr>
          <w:p w14:paraId="5D4F981D" w14:textId="77777777" w:rsidR="001629FF" w:rsidRPr="00D6435D" w:rsidRDefault="001629FF" w:rsidP="00182DEE">
            <w:pPr>
              <w:rPr>
                <w:sz w:val="22"/>
                <w:szCs w:val="22"/>
              </w:rPr>
            </w:pPr>
            <w:r w:rsidRPr="00D6435D">
              <w:rPr>
                <w:sz w:val="22"/>
                <w:szCs w:val="22"/>
              </w:rPr>
              <w:t>Ведение открытого реестра</w:t>
            </w:r>
          </w:p>
        </w:tc>
        <w:tc>
          <w:tcPr>
            <w:tcW w:w="652" w:type="pct"/>
            <w:gridSpan w:val="2"/>
            <w:vMerge/>
          </w:tcPr>
          <w:p w14:paraId="518B83D9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7BB94E1F" w14:textId="77777777" w:rsidTr="00182DEE">
        <w:tc>
          <w:tcPr>
            <w:tcW w:w="265" w:type="pct"/>
          </w:tcPr>
          <w:p w14:paraId="7CF89512" w14:textId="77777777" w:rsidR="001629FF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1.7.3</w:t>
            </w:r>
          </w:p>
        </w:tc>
        <w:tc>
          <w:tcPr>
            <w:tcW w:w="993" w:type="pct"/>
          </w:tcPr>
          <w:p w14:paraId="677BD47D" w14:textId="77777777" w:rsidR="001629FF" w:rsidRPr="00D6435D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018">
              <w:rPr>
                <w:rFonts w:ascii="Times New Roman" w:hAnsi="Times New Roman" w:cs="Times New Roman"/>
                <w:sz w:val="22"/>
                <w:szCs w:val="22"/>
              </w:rPr>
              <w:t>Содействие созданию новых мест в негосударственных организациях, предоставляющих услуги дошкольного, общего и среднего профессионального образования, а также мест в группах кратковременного пребывания детей</w:t>
            </w:r>
          </w:p>
        </w:tc>
        <w:tc>
          <w:tcPr>
            <w:tcW w:w="315" w:type="pct"/>
          </w:tcPr>
          <w:p w14:paraId="1493B07B" w14:textId="77777777" w:rsidR="001629FF" w:rsidRPr="00B92018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018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726" w:type="pct"/>
          </w:tcPr>
          <w:p w14:paraId="00E615D6" w14:textId="77777777" w:rsidR="001629FF" w:rsidRPr="00B92018" w:rsidRDefault="001629FF" w:rsidP="00182D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018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акт/программа мероприятий (при необходимости)</w:t>
            </w:r>
          </w:p>
        </w:tc>
        <w:tc>
          <w:tcPr>
            <w:tcW w:w="273" w:type="pct"/>
          </w:tcPr>
          <w:p w14:paraId="15E05A3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</w:tcPr>
          <w:p w14:paraId="5AF258B5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1E4203D7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659A166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</w:tcPr>
          <w:p w14:paraId="635B9D87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5"/>
          </w:tcPr>
          <w:p w14:paraId="4CB731E3" w14:textId="77777777" w:rsidR="001629FF" w:rsidRPr="00B92018" w:rsidRDefault="001629FF" w:rsidP="00182DEE">
            <w:pPr>
              <w:rPr>
                <w:sz w:val="22"/>
                <w:szCs w:val="22"/>
              </w:rPr>
            </w:pPr>
            <w:r w:rsidRPr="00B92018">
              <w:rPr>
                <w:sz w:val="22"/>
                <w:szCs w:val="22"/>
              </w:rPr>
              <w:t>Создание новых мест в негосударственных организациях</w:t>
            </w:r>
          </w:p>
        </w:tc>
        <w:tc>
          <w:tcPr>
            <w:tcW w:w="652" w:type="pct"/>
            <w:gridSpan w:val="2"/>
            <w:vMerge/>
          </w:tcPr>
          <w:p w14:paraId="2B01B63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111B3F20" w14:textId="77777777" w:rsidTr="00182DEE">
        <w:tc>
          <w:tcPr>
            <w:tcW w:w="265" w:type="pct"/>
          </w:tcPr>
          <w:p w14:paraId="0EF70728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735" w:type="pct"/>
            <w:gridSpan w:val="18"/>
          </w:tcPr>
          <w:p w14:paraId="35DA41CE" w14:textId="77777777" w:rsidR="001629FF" w:rsidRPr="00AE3E8A" w:rsidRDefault="001629FF" w:rsidP="00182DEE">
            <w:pPr>
              <w:rPr>
                <w:sz w:val="22"/>
                <w:szCs w:val="22"/>
              </w:rPr>
            </w:pPr>
            <w:r w:rsidRPr="009A207C">
              <w:rPr>
                <w:sz w:val="22"/>
                <w:szCs w:val="22"/>
              </w:rPr>
              <w:t>Мероприятия, направленные на увеличение количества нестационарных и мобильных торговых объектов и торговых мест (далее – НТО)</w:t>
            </w:r>
          </w:p>
        </w:tc>
      </w:tr>
      <w:tr w:rsidR="001629FF" w:rsidRPr="009814F1" w14:paraId="2D5888D5" w14:textId="77777777" w:rsidTr="00182DEE">
        <w:tc>
          <w:tcPr>
            <w:tcW w:w="265" w:type="pct"/>
          </w:tcPr>
          <w:p w14:paraId="5D516672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1.8.1.</w:t>
            </w:r>
          </w:p>
        </w:tc>
        <w:tc>
          <w:tcPr>
            <w:tcW w:w="993" w:type="pct"/>
          </w:tcPr>
          <w:p w14:paraId="16D4099E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Проведение открытого опроса предпринимателей в целях определения спроса/потребности в предоставлении мест под размещение НТО</w:t>
            </w:r>
          </w:p>
        </w:tc>
        <w:tc>
          <w:tcPr>
            <w:tcW w:w="315" w:type="pct"/>
          </w:tcPr>
          <w:p w14:paraId="5F81C2F2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</w:tcPr>
          <w:p w14:paraId="1020A1DF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4EEEA75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14:paraId="349607A6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</w:t>
            </w:r>
          </w:p>
        </w:tc>
        <w:tc>
          <w:tcPr>
            <w:tcW w:w="273" w:type="pct"/>
          </w:tcPr>
          <w:p w14:paraId="7AB045B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</w:t>
            </w:r>
          </w:p>
        </w:tc>
        <w:tc>
          <w:tcPr>
            <w:tcW w:w="272" w:type="pct"/>
          </w:tcPr>
          <w:p w14:paraId="57706D1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gridSpan w:val="2"/>
          </w:tcPr>
          <w:p w14:paraId="0F15773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6"/>
          </w:tcPr>
          <w:p w14:paraId="458ABEB0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666" w:type="pct"/>
            <w:gridSpan w:val="3"/>
            <w:vMerge w:val="restart"/>
          </w:tcPr>
          <w:p w14:paraId="76C233A3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 w:rsidRPr="00AE3E8A">
              <w:rPr>
                <w:sz w:val="22"/>
                <w:szCs w:val="22"/>
              </w:rPr>
              <w:t>Сектор по поддержке малого бизнеса</w:t>
            </w:r>
          </w:p>
          <w:p w14:paraId="1343DBE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5B910279" w14:textId="77777777" w:rsidTr="00182DEE">
        <w:tc>
          <w:tcPr>
            <w:tcW w:w="265" w:type="pct"/>
          </w:tcPr>
          <w:p w14:paraId="388631A4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1.8.2.</w:t>
            </w:r>
          </w:p>
        </w:tc>
        <w:tc>
          <w:tcPr>
            <w:tcW w:w="993" w:type="pct"/>
          </w:tcPr>
          <w:p w14:paraId="0F2B2763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Внесение изменений в схему размещения НТО (расширение перечня объектов)</w:t>
            </w:r>
          </w:p>
        </w:tc>
        <w:tc>
          <w:tcPr>
            <w:tcW w:w="315" w:type="pct"/>
          </w:tcPr>
          <w:p w14:paraId="0592CD65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F51F18">
              <w:rPr>
                <w:sz w:val="22"/>
                <w:szCs w:val="22"/>
              </w:rPr>
              <w:t>2022 - 2025 годы</w:t>
            </w:r>
          </w:p>
        </w:tc>
        <w:tc>
          <w:tcPr>
            <w:tcW w:w="726" w:type="pct"/>
          </w:tcPr>
          <w:p w14:paraId="6BDE59A8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Утверждение актуализированных муниципальных схем размещения НТО</w:t>
            </w:r>
          </w:p>
        </w:tc>
        <w:tc>
          <w:tcPr>
            <w:tcW w:w="273" w:type="pct"/>
          </w:tcPr>
          <w:p w14:paraId="4C226430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</w:tcPr>
          <w:p w14:paraId="5E6A5D7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3190FB92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220FD93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</w:tcPr>
          <w:p w14:paraId="550E0B1F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1" w:type="pct"/>
            <w:gridSpan w:val="6"/>
          </w:tcPr>
          <w:p w14:paraId="16CD77CF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F51F18">
              <w:rPr>
                <w:sz w:val="22"/>
                <w:szCs w:val="22"/>
              </w:rPr>
              <w:t xml:space="preserve">Увеличение количества нестационарных и мобильных </w:t>
            </w:r>
            <w:r w:rsidRPr="00F51F18">
              <w:rPr>
                <w:sz w:val="22"/>
                <w:szCs w:val="22"/>
              </w:rPr>
              <w:lastRenderedPageBreak/>
              <w:t>торговых объектов и торговых мест под них</w:t>
            </w:r>
          </w:p>
        </w:tc>
        <w:tc>
          <w:tcPr>
            <w:tcW w:w="666" w:type="pct"/>
            <w:gridSpan w:val="3"/>
            <w:vMerge/>
          </w:tcPr>
          <w:p w14:paraId="637A07F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9814F1" w14:paraId="085A3566" w14:textId="77777777" w:rsidTr="00182DEE">
        <w:tc>
          <w:tcPr>
            <w:tcW w:w="265" w:type="pct"/>
          </w:tcPr>
          <w:p w14:paraId="6518B113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1.8.3.</w:t>
            </w:r>
          </w:p>
        </w:tc>
        <w:tc>
          <w:tcPr>
            <w:tcW w:w="993" w:type="pct"/>
          </w:tcPr>
          <w:p w14:paraId="7F4E0CED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Участие в проведении выставок/ярмарок, включая организацию дополнительных площадок «Покупайте нижегородское» (освобождение ниж</w:t>
            </w:r>
            <w:r>
              <w:rPr>
                <w:sz w:val="22"/>
                <w:szCs w:val="22"/>
              </w:rPr>
              <w:t>егородских сельхозтоваропроизво</w:t>
            </w:r>
            <w:r w:rsidRPr="009814F1">
              <w:rPr>
                <w:sz w:val="22"/>
                <w:szCs w:val="22"/>
              </w:rPr>
              <w:t>дителей от платы за их использование)</w:t>
            </w:r>
          </w:p>
        </w:tc>
        <w:tc>
          <w:tcPr>
            <w:tcW w:w="315" w:type="pct"/>
          </w:tcPr>
          <w:p w14:paraId="7052D6EE" w14:textId="77777777" w:rsidR="001629FF" w:rsidRPr="009814F1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350C6BF6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9814F1">
              <w:rPr>
                <w:sz w:val="22"/>
                <w:szCs w:val="22"/>
              </w:rPr>
              <w:t>Муниципальная программа «Развитие предпринимательства в городском округе город Шахунья Нижегородской области», участие в государственной программе «Развитие предпринимательства Нижегородской области»</w:t>
            </w:r>
          </w:p>
        </w:tc>
        <w:tc>
          <w:tcPr>
            <w:tcW w:w="273" w:type="pct"/>
          </w:tcPr>
          <w:p w14:paraId="38968DD1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</w:tcPr>
          <w:p w14:paraId="02CB4F6A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</w:tcPr>
          <w:p w14:paraId="4CB249BB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</w:tcPr>
          <w:p w14:paraId="6EC37BED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</w:tcPr>
          <w:p w14:paraId="5C7620A4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1" w:type="pct"/>
            <w:gridSpan w:val="6"/>
          </w:tcPr>
          <w:p w14:paraId="3ACF22FF" w14:textId="77777777" w:rsidR="001629FF" w:rsidRPr="009814F1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Проведение выставок/ярмарок</w:t>
            </w:r>
          </w:p>
        </w:tc>
        <w:tc>
          <w:tcPr>
            <w:tcW w:w="666" w:type="pct"/>
            <w:gridSpan w:val="3"/>
            <w:vMerge/>
          </w:tcPr>
          <w:p w14:paraId="377E6E4C" w14:textId="77777777" w:rsidR="001629FF" w:rsidRPr="009814F1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19AB3A1F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07BF511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</w:p>
        </w:tc>
        <w:tc>
          <w:tcPr>
            <w:tcW w:w="4735" w:type="pct"/>
            <w:gridSpan w:val="18"/>
          </w:tcPr>
          <w:p w14:paraId="51969A53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Мероприятия в отдельных отраслях (сферах) экономики городского округа город Шахунья Нижегородской области</w:t>
            </w:r>
          </w:p>
        </w:tc>
      </w:tr>
      <w:tr w:rsidR="001629FF" w:rsidRPr="00865ACD" w14:paraId="254A027E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58E1742D" w14:textId="77777777" w:rsidR="001629FF" w:rsidRPr="00865ACD" w:rsidRDefault="001629FF" w:rsidP="00182DEE">
            <w:pPr>
              <w:keepNext/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865ACD">
              <w:rPr>
                <w:sz w:val="22"/>
                <w:szCs w:val="22"/>
              </w:rPr>
              <w:t>.</w:t>
            </w:r>
          </w:p>
        </w:tc>
        <w:tc>
          <w:tcPr>
            <w:tcW w:w="4735" w:type="pct"/>
            <w:gridSpan w:val="18"/>
          </w:tcPr>
          <w:p w14:paraId="5C32D609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Рынок ритуальных услуг</w:t>
            </w:r>
          </w:p>
        </w:tc>
      </w:tr>
      <w:tr w:rsidR="001629FF" w:rsidRPr="00865ACD" w14:paraId="0EEB2207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34E72D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bookmarkStart w:id="1" w:name="_Hlk89168214"/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865AC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14:paraId="13987E7F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Проведение инвентаризации действующих мест погребения </w:t>
            </w:r>
          </w:p>
        </w:tc>
        <w:tc>
          <w:tcPr>
            <w:tcW w:w="315" w:type="pct"/>
            <w:shd w:val="clear" w:color="auto" w:fill="auto"/>
          </w:tcPr>
          <w:p w14:paraId="5C398030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auto"/>
          </w:tcPr>
          <w:p w14:paraId="24F7982B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CA6FE2">
              <w:rPr>
                <w:sz w:val="22"/>
                <w:szCs w:val="22"/>
              </w:rPr>
              <w:t xml:space="preserve">Проведение инвентаризации </w:t>
            </w:r>
            <w:r>
              <w:rPr>
                <w:sz w:val="22"/>
                <w:szCs w:val="22"/>
              </w:rPr>
              <w:t>в соответствие с р</w:t>
            </w:r>
            <w:r w:rsidRPr="00CA6FE2">
              <w:rPr>
                <w:sz w:val="22"/>
                <w:szCs w:val="22"/>
              </w:rPr>
              <w:t>азработ</w:t>
            </w:r>
            <w:r>
              <w:rPr>
                <w:sz w:val="22"/>
                <w:szCs w:val="22"/>
              </w:rPr>
              <w:t>анным</w:t>
            </w:r>
            <w:r w:rsidRPr="00CA6FE2">
              <w:rPr>
                <w:sz w:val="22"/>
                <w:szCs w:val="22"/>
              </w:rPr>
              <w:t xml:space="preserve"> и утверждён</w:t>
            </w:r>
            <w:r>
              <w:rPr>
                <w:sz w:val="22"/>
                <w:szCs w:val="22"/>
              </w:rPr>
              <w:t>ным</w:t>
            </w:r>
            <w:r w:rsidRPr="00CA6FE2">
              <w:rPr>
                <w:sz w:val="22"/>
                <w:szCs w:val="22"/>
              </w:rPr>
              <w:t xml:space="preserve"> порядк</w:t>
            </w:r>
            <w:r>
              <w:rPr>
                <w:sz w:val="22"/>
                <w:szCs w:val="22"/>
              </w:rPr>
              <w:t>ом</w:t>
            </w:r>
            <w:r w:rsidRPr="00CA6FE2">
              <w:rPr>
                <w:sz w:val="22"/>
                <w:szCs w:val="22"/>
              </w:rPr>
              <w:t xml:space="preserve"> проведения инвентаризации захоронений на кладбищах, расположенных на территории </w:t>
            </w:r>
            <w:r>
              <w:rPr>
                <w:sz w:val="22"/>
                <w:szCs w:val="22"/>
              </w:rPr>
              <w:t>городского округа (</w:t>
            </w:r>
            <w:r w:rsidRPr="00CA6FE2">
              <w:rPr>
                <w:sz w:val="22"/>
                <w:szCs w:val="22"/>
              </w:rPr>
              <w:t>Постановление Правительства Нижегородской области от 14 октября 2020 г. № 846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3" w:type="pct"/>
          </w:tcPr>
          <w:p w14:paraId="49955E3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024C77D1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4A9D4ED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0FE7482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36C714A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gridSpan w:val="6"/>
            <w:vMerge w:val="restart"/>
            <w:shd w:val="clear" w:color="auto" w:fill="auto"/>
          </w:tcPr>
          <w:p w14:paraId="0E6FE50C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14:paraId="75B2AE6F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в отношении 20% общего количества существующих кладбищ до 31 декабря 2023 г.;</w:t>
            </w:r>
          </w:p>
          <w:p w14:paraId="62DAD78D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в отношении 50 % общего количества </w:t>
            </w:r>
            <w:r w:rsidRPr="00865ACD">
              <w:rPr>
                <w:sz w:val="22"/>
                <w:szCs w:val="22"/>
              </w:rPr>
              <w:lastRenderedPageBreak/>
              <w:t>существующих кладбищ до 31 декабря 2024 г.;</w:t>
            </w:r>
          </w:p>
          <w:p w14:paraId="008C268D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в отношении всех существующих кладбищ до 31 декабря 2025 г.</w:t>
            </w:r>
          </w:p>
        </w:tc>
        <w:tc>
          <w:tcPr>
            <w:tcW w:w="678" w:type="pct"/>
            <w:gridSpan w:val="4"/>
            <w:vMerge w:val="restart"/>
            <w:shd w:val="clear" w:color="auto" w:fill="auto"/>
          </w:tcPr>
          <w:p w14:paraId="1BAF9909" w14:textId="77777777" w:rsidR="001629FF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lastRenderedPageBreak/>
              <w:t xml:space="preserve">Управление по работе с территориями и благоустройству администрации городского округа город Шахунья </w:t>
            </w:r>
          </w:p>
          <w:p w14:paraId="3A8EAF6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–Управление по работе с территориями)</w:t>
            </w:r>
          </w:p>
        </w:tc>
      </w:tr>
      <w:tr w:rsidR="001629FF" w:rsidRPr="00865ACD" w14:paraId="5AF26732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6D85130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993" w:type="pct"/>
            <w:shd w:val="clear" w:color="auto" w:fill="auto"/>
          </w:tcPr>
          <w:p w14:paraId="2538AF84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EF5E06">
              <w:rPr>
                <w:sz w:val="22"/>
                <w:szCs w:val="22"/>
              </w:rPr>
              <w:t xml:space="preserve">Создание реестра кладбищ и мест захоронений, расположенных на территории </w:t>
            </w:r>
            <w:r w:rsidRPr="00EF5E06">
              <w:rPr>
                <w:sz w:val="22"/>
                <w:szCs w:val="22"/>
              </w:rPr>
              <w:lastRenderedPageBreak/>
              <w:t>Нижегородской области по итогам проведенной инвентаризации, с размещением информации из реестра на региональном портале государственных и муниципальных услуг</w:t>
            </w:r>
          </w:p>
        </w:tc>
        <w:tc>
          <w:tcPr>
            <w:tcW w:w="315" w:type="pct"/>
            <w:shd w:val="clear" w:color="auto" w:fill="auto"/>
          </w:tcPr>
          <w:p w14:paraId="0AB2340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781484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2</w:t>
            </w:r>
            <w:r w:rsidRPr="00781484">
              <w:rPr>
                <w:sz w:val="22"/>
                <w:szCs w:val="22"/>
              </w:rPr>
              <w:t xml:space="preserve"> - 2025 годы</w:t>
            </w:r>
          </w:p>
        </w:tc>
        <w:tc>
          <w:tcPr>
            <w:tcW w:w="726" w:type="pct"/>
            <w:shd w:val="clear" w:color="auto" w:fill="auto"/>
          </w:tcPr>
          <w:p w14:paraId="718362B5" w14:textId="77777777" w:rsidR="001629FF" w:rsidRPr="00CA6FE2" w:rsidRDefault="001629FF" w:rsidP="00182DEE">
            <w:pPr>
              <w:rPr>
                <w:sz w:val="22"/>
                <w:szCs w:val="22"/>
              </w:rPr>
            </w:pPr>
            <w:r w:rsidRPr="006865A6">
              <w:rPr>
                <w:sz w:val="22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273" w:type="pct"/>
          </w:tcPr>
          <w:p w14:paraId="586EBC5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2B3CB99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53A98B9C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2A5DB5C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812EEB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gridSpan w:val="6"/>
            <w:vMerge/>
            <w:shd w:val="clear" w:color="auto" w:fill="auto"/>
          </w:tcPr>
          <w:p w14:paraId="395D3D32" w14:textId="77777777" w:rsidR="001629FF" w:rsidRPr="00865ACD" w:rsidRDefault="001629FF" w:rsidP="00182DEE">
            <w:pPr>
              <w:ind w:right="-103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4901890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3C4E82B6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06DD5F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865ACD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pct"/>
            <w:shd w:val="clear" w:color="auto" w:fill="auto"/>
          </w:tcPr>
          <w:p w14:paraId="30B60E51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2C38C1">
              <w:rPr>
                <w:sz w:val="22"/>
                <w:szCs w:val="22"/>
              </w:rPr>
              <w:t>Создание реестра хозяйствующих субъектов, имеющих право на оказание услуг по организации похорон, включая стоимость оказываемых ими ритуальных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315" w:type="pct"/>
            <w:shd w:val="clear" w:color="auto" w:fill="auto"/>
          </w:tcPr>
          <w:p w14:paraId="53500BFF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2B3AE5">
              <w:t>202</w:t>
            </w:r>
            <w:r>
              <w:t>2</w:t>
            </w:r>
            <w:r w:rsidRPr="002B3AE5">
              <w:t xml:space="preserve"> - 2025 годы</w:t>
            </w:r>
          </w:p>
        </w:tc>
        <w:tc>
          <w:tcPr>
            <w:tcW w:w="726" w:type="pct"/>
            <w:shd w:val="clear" w:color="auto" w:fill="auto"/>
          </w:tcPr>
          <w:p w14:paraId="40E915EB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2C38C1">
              <w:rPr>
                <w:sz w:val="22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273" w:type="pct"/>
          </w:tcPr>
          <w:p w14:paraId="48FAC1DF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56EC584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4402CA6C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3A1C6109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6DC35AE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gridSpan w:val="6"/>
            <w:shd w:val="clear" w:color="auto" w:fill="auto"/>
          </w:tcPr>
          <w:p w14:paraId="7A833871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2C38C1">
              <w:rPr>
                <w:sz w:val="22"/>
                <w:szCs w:val="22"/>
              </w:rPr>
              <w:t>Повышение прозрачности информации о стоимости ритуальных услуг</w:t>
            </w: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17192FE1" w14:textId="77777777" w:rsidR="001629FF" w:rsidRPr="00865ACD" w:rsidRDefault="001629FF" w:rsidP="00182DEE">
            <w:pPr>
              <w:ind w:left="-114" w:right="-103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1629FF" w:rsidRPr="00865ACD" w14:paraId="16E1B629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AF94DE5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993" w:type="pct"/>
            <w:shd w:val="clear" w:color="auto" w:fill="auto"/>
          </w:tcPr>
          <w:p w14:paraId="392E127F" w14:textId="77777777" w:rsidR="001629FF" w:rsidRPr="00596909" w:rsidRDefault="001629FF" w:rsidP="00182DEE">
            <w:pPr>
              <w:jc w:val="both"/>
              <w:rPr>
                <w:sz w:val="22"/>
                <w:szCs w:val="22"/>
              </w:rPr>
            </w:pPr>
            <w:r w:rsidRPr="00596909">
              <w:rPr>
                <w:sz w:val="22"/>
                <w:szCs w:val="22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реестрах (при условии принятия соответствующего нормативного правового акта на федеральном уровне)</w:t>
            </w:r>
          </w:p>
          <w:p w14:paraId="378876D7" w14:textId="77777777" w:rsidR="001629FF" w:rsidRPr="002C38C1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shd w:val="clear" w:color="auto" w:fill="auto"/>
          </w:tcPr>
          <w:p w14:paraId="0943F4BE" w14:textId="77777777" w:rsidR="001629FF" w:rsidRPr="002B3AE5" w:rsidRDefault="001629FF" w:rsidP="00182DEE">
            <w:pPr>
              <w:jc w:val="both"/>
            </w:pPr>
            <w:r w:rsidRPr="00804B16">
              <w:t>202</w:t>
            </w:r>
            <w:r>
              <w:t>2</w:t>
            </w:r>
            <w:r w:rsidRPr="00804B16">
              <w:t xml:space="preserve"> - 2025 годы</w:t>
            </w:r>
          </w:p>
        </w:tc>
        <w:tc>
          <w:tcPr>
            <w:tcW w:w="726" w:type="pct"/>
            <w:shd w:val="clear" w:color="auto" w:fill="auto"/>
          </w:tcPr>
          <w:p w14:paraId="0F10E050" w14:textId="77777777" w:rsidR="001629FF" w:rsidRPr="002C38C1" w:rsidRDefault="001629FF" w:rsidP="00182DEE">
            <w:pPr>
              <w:jc w:val="both"/>
              <w:rPr>
                <w:sz w:val="22"/>
                <w:szCs w:val="22"/>
              </w:rPr>
            </w:pPr>
            <w:r w:rsidRPr="00804B16">
              <w:rPr>
                <w:sz w:val="22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273" w:type="pct"/>
          </w:tcPr>
          <w:p w14:paraId="157A14E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0780084F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55CB68E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7838A0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0C5420C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gridSpan w:val="6"/>
            <w:vMerge w:val="restart"/>
            <w:shd w:val="clear" w:color="auto" w:fill="auto"/>
          </w:tcPr>
          <w:p w14:paraId="1279C56A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2C38C1">
              <w:rPr>
                <w:sz w:val="22"/>
                <w:szCs w:val="22"/>
              </w:rPr>
              <w:t>Повышение прозрачности информации о стоимости ритуальных услуг</w:t>
            </w: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64972E8D" w14:textId="77777777" w:rsidR="001629FF" w:rsidRPr="00865ACD" w:rsidRDefault="001629FF" w:rsidP="00182DEE">
            <w:pPr>
              <w:ind w:left="-114" w:right="-103"/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5C2E0FF9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6C15FBB0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993" w:type="pct"/>
            <w:shd w:val="clear" w:color="auto" w:fill="auto"/>
          </w:tcPr>
          <w:p w14:paraId="22658301" w14:textId="77777777" w:rsidR="001629FF" w:rsidRPr="00596909" w:rsidRDefault="001629FF" w:rsidP="00182DEE">
            <w:pPr>
              <w:jc w:val="both"/>
              <w:rPr>
                <w:sz w:val="22"/>
                <w:szCs w:val="22"/>
              </w:rPr>
            </w:pPr>
            <w:r w:rsidRPr="001157CE">
              <w:rPr>
                <w:sz w:val="22"/>
                <w:szCs w:val="22"/>
              </w:rPr>
              <w:t>Формирование и ведение реестра кладбищ, расположенных на территории Нижегородской области, поставленных на кадастровый учет и прошедших государственную регистрацию</w:t>
            </w:r>
          </w:p>
        </w:tc>
        <w:tc>
          <w:tcPr>
            <w:tcW w:w="315" w:type="pct"/>
            <w:vMerge/>
            <w:shd w:val="clear" w:color="auto" w:fill="auto"/>
          </w:tcPr>
          <w:p w14:paraId="2B5F7EC7" w14:textId="77777777" w:rsidR="001629FF" w:rsidRPr="00804B16" w:rsidRDefault="001629FF" w:rsidP="00182DEE">
            <w:pPr>
              <w:jc w:val="both"/>
            </w:pPr>
          </w:p>
        </w:tc>
        <w:tc>
          <w:tcPr>
            <w:tcW w:w="726" w:type="pct"/>
            <w:shd w:val="clear" w:color="auto" w:fill="auto"/>
          </w:tcPr>
          <w:p w14:paraId="098F61BA" w14:textId="77777777" w:rsidR="001629FF" w:rsidRPr="00804B16" w:rsidRDefault="001629FF" w:rsidP="00182DEE">
            <w:pPr>
              <w:rPr>
                <w:sz w:val="22"/>
                <w:szCs w:val="22"/>
              </w:rPr>
            </w:pPr>
            <w:r w:rsidRPr="001157CE">
              <w:rPr>
                <w:sz w:val="22"/>
                <w:szCs w:val="22"/>
              </w:rPr>
              <w:t>Постановление Правительства Нижегородской области от 13 февраля 2009 г. № 56</w:t>
            </w:r>
          </w:p>
        </w:tc>
        <w:tc>
          <w:tcPr>
            <w:tcW w:w="273" w:type="pct"/>
          </w:tcPr>
          <w:p w14:paraId="5CA4D05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39D9AD8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6EE269DB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F03ECA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14:paraId="549A59F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6" w:type="pct"/>
            <w:gridSpan w:val="6"/>
            <w:vMerge/>
            <w:shd w:val="clear" w:color="auto" w:fill="auto"/>
          </w:tcPr>
          <w:p w14:paraId="407A6BD1" w14:textId="77777777" w:rsidR="001629FF" w:rsidRPr="002C38C1" w:rsidRDefault="001629FF" w:rsidP="00182DEE">
            <w:pPr>
              <w:ind w:right="-103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3386F9E8" w14:textId="77777777" w:rsidR="001629FF" w:rsidRPr="00865ACD" w:rsidRDefault="001629FF" w:rsidP="00182DEE">
            <w:pPr>
              <w:ind w:left="-114" w:right="-103"/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4E0BAAC4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6E27A35D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735" w:type="pct"/>
            <w:gridSpan w:val="18"/>
            <w:shd w:val="clear" w:color="auto" w:fill="auto"/>
          </w:tcPr>
          <w:p w14:paraId="01B313CF" w14:textId="77777777" w:rsidR="001629FF" w:rsidRPr="00865ACD" w:rsidRDefault="001629FF" w:rsidP="00182DEE">
            <w:pPr>
              <w:ind w:right="-103"/>
              <w:rPr>
                <w:sz w:val="22"/>
                <w:szCs w:val="22"/>
              </w:rPr>
            </w:pPr>
            <w:r w:rsidRPr="009A207C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1629FF" w:rsidRPr="00865ACD" w14:paraId="585E5F15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30A2EE62" w14:textId="77777777" w:rsidR="001629FF" w:rsidRPr="00865ACD" w:rsidRDefault="001629FF" w:rsidP="00182DEE">
            <w:pPr>
              <w:ind w:right="-109"/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65ACD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shd w:val="clear" w:color="auto" w:fill="auto"/>
          </w:tcPr>
          <w:p w14:paraId="759FF38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144E584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C9DC50F" w14:textId="77777777" w:rsidR="001629FF" w:rsidRPr="00865ACD" w:rsidRDefault="001629FF" w:rsidP="00182DEE">
            <w:pPr>
              <w:ind w:right="-25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14:paraId="6B9D9070" w14:textId="77777777" w:rsidR="001629FF" w:rsidRPr="00865ACD" w:rsidRDefault="001629FF" w:rsidP="00182DEE">
            <w:pPr>
              <w:ind w:right="-253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(доля объема выручки организаций частной формы собственности от общего объема выручки всех хозяйствующих субъектов), %</w:t>
            </w:r>
          </w:p>
        </w:tc>
        <w:tc>
          <w:tcPr>
            <w:tcW w:w="273" w:type="pct"/>
            <w:vMerge w:val="restart"/>
          </w:tcPr>
          <w:p w14:paraId="16BAF72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1DA92EC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7E7428F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495446B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3"/>
            <w:vMerge w:val="restart"/>
            <w:shd w:val="clear" w:color="auto" w:fill="auto"/>
          </w:tcPr>
          <w:p w14:paraId="41291911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2"/>
            <w:vMerge w:val="restart"/>
            <w:shd w:val="clear" w:color="auto" w:fill="auto"/>
          </w:tcPr>
          <w:p w14:paraId="60B38B6C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687" w:type="pct"/>
            <w:gridSpan w:val="6"/>
            <w:vMerge w:val="restart"/>
            <w:shd w:val="clear" w:color="auto" w:fill="auto"/>
          </w:tcPr>
          <w:p w14:paraId="62F89DCD" w14:textId="77777777" w:rsidR="001629FF" w:rsidRPr="00865ACD" w:rsidRDefault="001629FF" w:rsidP="00182DEE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  <w:r w:rsidRPr="00865ACD">
              <w:rPr>
                <w:sz w:val="22"/>
                <w:szCs w:val="22"/>
              </w:rPr>
              <w:t xml:space="preserve">, </w:t>
            </w:r>
            <w:r w:rsidRPr="00AE3E8A">
              <w:rPr>
                <w:sz w:val="22"/>
                <w:szCs w:val="22"/>
              </w:rPr>
              <w:t>Сектор по поддержке малого бизнеса</w:t>
            </w:r>
            <w:r w:rsidRPr="00865ACD">
              <w:rPr>
                <w:sz w:val="22"/>
                <w:szCs w:val="22"/>
              </w:rPr>
              <w:t xml:space="preserve">, </w:t>
            </w:r>
          </w:p>
          <w:p w14:paraId="76CAAD11" w14:textId="77777777" w:rsidR="001629FF" w:rsidRPr="00865ACD" w:rsidRDefault="001629FF" w:rsidP="00182DEE">
            <w:pPr>
              <w:ind w:right="-95"/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АНО «Шахунский центр развития бизнеса»</w:t>
            </w:r>
          </w:p>
        </w:tc>
      </w:tr>
      <w:tr w:rsidR="001629FF" w:rsidRPr="00865ACD" w14:paraId="7BAFE6E1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377296D9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65ACD">
              <w:rPr>
                <w:sz w:val="22"/>
                <w:szCs w:val="22"/>
              </w:rPr>
              <w:t>.2.</w:t>
            </w:r>
          </w:p>
        </w:tc>
        <w:tc>
          <w:tcPr>
            <w:tcW w:w="993" w:type="pct"/>
            <w:shd w:val="clear" w:color="auto" w:fill="auto"/>
          </w:tcPr>
          <w:p w14:paraId="4211E41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315" w:type="pct"/>
            <w:vMerge/>
            <w:shd w:val="clear" w:color="auto" w:fill="auto"/>
          </w:tcPr>
          <w:p w14:paraId="4368175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0B54BF1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</w:tcPr>
          <w:p w14:paraId="4D33EF0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5C65F4A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4E676FF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713FA45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14:paraId="31903AE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gridSpan w:val="2"/>
            <w:vMerge/>
            <w:shd w:val="clear" w:color="auto" w:fill="auto"/>
          </w:tcPr>
          <w:p w14:paraId="05308AA9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6"/>
            <w:vMerge/>
            <w:shd w:val="clear" w:color="auto" w:fill="auto"/>
          </w:tcPr>
          <w:p w14:paraId="32442799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7033746B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6393ED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65ACD">
              <w:rPr>
                <w:sz w:val="22"/>
                <w:szCs w:val="22"/>
              </w:rPr>
              <w:t>.3.</w:t>
            </w:r>
          </w:p>
        </w:tc>
        <w:tc>
          <w:tcPr>
            <w:tcW w:w="993" w:type="pct"/>
            <w:shd w:val="clear" w:color="auto" w:fill="auto"/>
          </w:tcPr>
          <w:p w14:paraId="7D2BEC81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315" w:type="pct"/>
            <w:vMerge/>
            <w:shd w:val="clear" w:color="auto" w:fill="auto"/>
          </w:tcPr>
          <w:p w14:paraId="191D187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0C411E3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</w:tcPr>
          <w:p w14:paraId="3930332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0926B0CB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2C58FE8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6D28CC3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vMerge/>
            <w:shd w:val="clear" w:color="auto" w:fill="auto"/>
          </w:tcPr>
          <w:p w14:paraId="512F580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gridSpan w:val="2"/>
            <w:vMerge/>
            <w:shd w:val="clear" w:color="auto" w:fill="auto"/>
          </w:tcPr>
          <w:p w14:paraId="205032A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6"/>
            <w:vMerge/>
            <w:shd w:val="clear" w:color="auto" w:fill="auto"/>
          </w:tcPr>
          <w:p w14:paraId="3FB3CFB0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</w:tr>
      <w:tr w:rsidR="001629FF" w:rsidRPr="00865ACD" w14:paraId="1614C8D7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010612C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65ACD">
              <w:rPr>
                <w:sz w:val="22"/>
                <w:szCs w:val="22"/>
              </w:rPr>
              <w:t>.4.</w:t>
            </w:r>
          </w:p>
        </w:tc>
        <w:tc>
          <w:tcPr>
            <w:tcW w:w="993" w:type="pct"/>
            <w:shd w:val="clear" w:color="auto" w:fill="auto"/>
          </w:tcPr>
          <w:p w14:paraId="610B10F7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15" w:type="pct"/>
            <w:vMerge/>
            <w:shd w:val="clear" w:color="auto" w:fill="auto"/>
          </w:tcPr>
          <w:p w14:paraId="0096C82D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38A0944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273" w:type="pct"/>
          </w:tcPr>
          <w:p w14:paraId="519241E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shd w:val="clear" w:color="auto" w:fill="auto"/>
          </w:tcPr>
          <w:p w14:paraId="72F73C3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14:paraId="11CD940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16B46AD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3"/>
            <w:shd w:val="clear" w:color="auto" w:fill="auto"/>
          </w:tcPr>
          <w:p w14:paraId="2273B0F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4B57EA89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687" w:type="pct"/>
            <w:gridSpan w:val="6"/>
            <w:shd w:val="clear" w:color="auto" w:fill="auto"/>
          </w:tcPr>
          <w:p w14:paraId="06CD7392" w14:textId="77777777" w:rsidR="001629FF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865ACD">
              <w:rPr>
                <w:sz w:val="22"/>
                <w:szCs w:val="22"/>
              </w:rPr>
              <w:t xml:space="preserve">промышленности, </w:t>
            </w:r>
          </w:p>
          <w:p w14:paraId="12D76DC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Управление по работе с территориями </w:t>
            </w:r>
          </w:p>
          <w:p w14:paraId="6D9C0911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2D6CF942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366996BB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65ACD">
              <w:rPr>
                <w:sz w:val="22"/>
                <w:szCs w:val="22"/>
              </w:rPr>
              <w:t>.5.</w:t>
            </w:r>
          </w:p>
        </w:tc>
        <w:tc>
          <w:tcPr>
            <w:tcW w:w="993" w:type="pct"/>
            <w:shd w:val="clear" w:color="auto" w:fill="auto"/>
          </w:tcPr>
          <w:p w14:paraId="0BC8475F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Расширение практики </w:t>
            </w:r>
            <w:proofErr w:type="spellStart"/>
            <w:r w:rsidRPr="00865ACD">
              <w:rPr>
                <w:sz w:val="22"/>
                <w:szCs w:val="22"/>
              </w:rPr>
              <w:t>муниципально</w:t>
            </w:r>
            <w:proofErr w:type="spellEnd"/>
            <w:r w:rsidRPr="00865ACD">
              <w:rPr>
                <w:sz w:val="22"/>
                <w:szCs w:val="22"/>
              </w:rPr>
              <w:t>-частного партнерства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315" w:type="pct"/>
            <w:shd w:val="clear" w:color="auto" w:fill="auto"/>
          </w:tcPr>
          <w:p w14:paraId="1D66CD4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auto"/>
          </w:tcPr>
          <w:p w14:paraId="0BDDAE0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Количество проектов по благоустройству городской среды, реализуемых в рамках проекта «Местные инициативы», ед.</w:t>
            </w:r>
          </w:p>
        </w:tc>
        <w:tc>
          <w:tcPr>
            <w:tcW w:w="273" w:type="pct"/>
          </w:tcPr>
          <w:p w14:paraId="526A13D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14:paraId="4A87FC0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14:paraId="5DDC084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14:paraId="5D36A26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gridSpan w:val="3"/>
            <w:shd w:val="clear" w:color="auto" w:fill="auto"/>
          </w:tcPr>
          <w:p w14:paraId="140100A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14:paraId="05826867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7D17B8">
              <w:rPr>
                <w:sz w:val="22"/>
                <w:szCs w:val="22"/>
              </w:rPr>
              <w:t xml:space="preserve">Вовлечение населения в процесс благоустройства городской среды. Повышение удовлетворенности населения </w:t>
            </w:r>
            <w:r w:rsidRPr="007D17B8">
              <w:rPr>
                <w:sz w:val="22"/>
                <w:szCs w:val="22"/>
              </w:rPr>
              <w:lastRenderedPageBreak/>
              <w:t>состоянием городской среды</w:t>
            </w:r>
          </w:p>
        </w:tc>
        <w:tc>
          <w:tcPr>
            <w:tcW w:w="687" w:type="pct"/>
            <w:gridSpan w:val="6"/>
            <w:shd w:val="clear" w:color="auto" w:fill="auto"/>
          </w:tcPr>
          <w:p w14:paraId="76EBDC3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A578D5">
              <w:rPr>
                <w:sz w:val="22"/>
                <w:szCs w:val="22"/>
              </w:rPr>
              <w:lastRenderedPageBreak/>
              <w:t xml:space="preserve">Управление по работе с территориями </w:t>
            </w:r>
          </w:p>
          <w:p w14:paraId="516BBE3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1B37FDC1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48A31212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865ACD">
              <w:rPr>
                <w:sz w:val="22"/>
                <w:szCs w:val="22"/>
              </w:rPr>
              <w:t>.</w:t>
            </w:r>
          </w:p>
        </w:tc>
        <w:tc>
          <w:tcPr>
            <w:tcW w:w="4735" w:type="pct"/>
            <w:gridSpan w:val="18"/>
          </w:tcPr>
          <w:p w14:paraId="32F9261D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629FF" w:rsidRPr="00865ACD" w14:paraId="7CBFB3B0" w14:textId="77777777" w:rsidTr="00182DEE">
        <w:tblPrEx>
          <w:tblLook w:val="0620" w:firstRow="1" w:lastRow="0" w:firstColumn="0" w:lastColumn="0" w:noHBand="1" w:noVBand="1"/>
        </w:tblPrEx>
        <w:trPr>
          <w:gridAfter w:val="1"/>
          <w:wAfter w:w="4" w:type="pct"/>
        </w:trPr>
        <w:tc>
          <w:tcPr>
            <w:tcW w:w="265" w:type="pct"/>
            <w:shd w:val="clear" w:color="auto" w:fill="auto"/>
          </w:tcPr>
          <w:p w14:paraId="4E0E991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865ACD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shd w:val="clear" w:color="auto" w:fill="auto"/>
          </w:tcPr>
          <w:p w14:paraId="21133E1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 февраля 2006 г. № 75</w:t>
            </w:r>
          </w:p>
        </w:tc>
        <w:tc>
          <w:tcPr>
            <w:tcW w:w="315" w:type="pct"/>
            <w:shd w:val="clear" w:color="auto" w:fill="auto"/>
          </w:tcPr>
          <w:p w14:paraId="7A414660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3535CB29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  <w:p w14:paraId="6BBFA827" w14:textId="77777777" w:rsidR="001629FF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</w:t>
            </w:r>
            <w:r w:rsidRPr="00865ACD">
              <w:rPr>
                <w:sz w:val="22"/>
                <w:szCs w:val="22"/>
              </w:rPr>
              <w:lastRenderedPageBreak/>
              <w:t>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</w:p>
          <w:p w14:paraId="32A2CC37" w14:textId="77777777" w:rsidR="001629FF" w:rsidRPr="00865ACD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2A81312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66" w:type="pct"/>
            <w:shd w:val="clear" w:color="auto" w:fill="auto"/>
          </w:tcPr>
          <w:p w14:paraId="3946559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14:paraId="5A4F62B1" w14:textId="77777777" w:rsidR="001629FF" w:rsidRPr="00865ACD" w:rsidRDefault="001629FF" w:rsidP="00182D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328A0767" w14:textId="77777777" w:rsidR="001629FF" w:rsidRPr="00865ACD" w:rsidRDefault="001629FF" w:rsidP="00182D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2" w:type="pct"/>
            <w:gridSpan w:val="3"/>
            <w:shd w:val="clear" w:color="auto" w:fill="auto"/>
          </w:tcPr>
          <w:p w14:paraId="744AD1DB" w14:textId="77777777" w:rsidR="001629FF" w:rsidRPr="00865ACD" w:rsidRDefault="001629FF" w:rsidP="00182D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4" w:type="pct"/>
            <w:gridSpan w:val="3"/>
            <w:shd w:val="clear" w:color="auto" w:fill="auto"/>
          </w:tcPr>
          <w:p w14:paraId="7561BDC9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Снижение недобросовестной конкуренции на рынке</w:t>
            </w:r>
          </w:p>
          <w:p w14:paraId="41BAB25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 </w:t>
            </w:r>
          </w:p>
          <w:p w14:paraId="3258AA38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Повышение качества услуг в сфере жилищно-коммунального хозяйства</w:t>
            </w:r>
          </w:p>
          <w:p w14:paraId="0E86EE6E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 </w:t>
            </w:r>
          </w:p>
          <w:p w14:paraId="69759B65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Обеспечение равных условий для всех участников рынка</w:t>
            </w:r>
          </w:p>
        </w:tc>
        <w:tc>
          <w:tcPr>
            <w:tcW w:w="677" w:type="pct"/>
            <w:gridSpan w:val="4"/>
            <w:vMerge w:val="restart"/>
            <w:shd w:val="clear" w:color="auto" w:fill="auto"/>
          </w:tcPr>
          <w:p w14:paraId="5FD75CB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Отдел муниципального имущества, </w:t>
            </w:r>
          </w:p>
          <w:p w14:paraId="640BB47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промышленности</w:t>
            </w:r>
          </w:p>
          <w:p w14:paraId="3016FB9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5C8744DD" w14:textId="77777777" w:rsidTr="00182DEE">
        <w:tblPrEx>
          <w:tblLook w:val="0620" w:firstRow="1" w:lastRow="0" w:firstColumn="0" w:lastColumn="0" w:noHBand="1" w:noVBand="1"/>
        </w:tblPrEx>
        <w:trPr>
          <w:gridAfter w:val="1"/>
          <w:wAfter w:w="4" w:type="pct"/>
        </w:trPr>
        <w:tc>
          <w:tcPr>
            <w:tcW w:w="265" w:type="pct"/>
            <w:shd w:val="clear" w:color="auto" w:fill="auto"/>
          </w:tcPr>
          <w:p w14:paraId="615D583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865ACD">
              <w:rPr>
                <w:sz w:val="22"/>
                <w:szCs w:val="22"/>
              </w:rPr>
              <w:t>.2.</w:t>
            </w:r>
          </w:p>
        </w:tc>
        <w:tc>
          <w:tcPr>
            <w:tcW w:w="993" w:type="pct"/>
            <w:shd w:val="clear" w:color="auto" w:fill="auto"/>
          </w:tcPr>
          <w:p w14:paraId="550E9B7C" w14:textId="77777777" w:rsidR="001629FF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</w:t>
            </w:r>
            <w:r w:rsidRPr="00865ACD">
              <w:rPr>
                <w:sz w:val="22"/>
                <w:szCs w:val="22"/>
              </w:rPr>
              <w:lastRenderedPageBreak/>
              <w:t>Федерации от 6 февраля 2006 г. № 75</w:t>
            </w:r>
          </w:p>
          <w:p w14:paraId="2C6FCBE6" w14:textId="77777777" w:rsidR="001629FF" w:rsidRDefault="001629FF" w:rsidP="00182DEE">
            <w:pPr>
              <w:jc w:val="both"/>
              <w:rPr>
                <w:sz w:val="22"/>
                <w:szCs w:val="22"/>
              </w:rPr>
            </w:pPr>
          </w:p>
          <w:p w14:paraId="57EE06F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  <w:p w14:paraId="618D94A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0F8CDEF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lastRenderedPageBreak/>
              <w:t>2022 -2025 года</w:t>
            </w:r>
          </w:p>
        </w:tc>
        <w:tc>
          <w:tcPr>
            <w:tcW w:w="726" w:type="pct"/>
            <w:vMerge/>
            <w:shd w:val="clear" w:color="auto" w:fill="auto"/>
          </w:tcPr>
          <w:p w14:paraId="2A51FC0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263E53AA" w14:textId="77777777" w:rsidR="001629FF" w:rsidRPr="00865ACD" w:rsidRDefault="001629FF" w:rsidP="00182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401C604C" w14:textId="77777777" w:rsidR="001629FF" w:rsidRPr="00865ACD" w:rsidRDefault="001629FF" w:rsidP="00182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1BA71EA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54F9461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08FC316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4E00AA2A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6434EF">
              <w:rPr>
                <w:sz w:val="22"/>
                <w:szCs w:val="22"/>
              </w:rPr>
              <w:t>Обеспечение равных условий для всех участников рынка</w:t>
            </w:r>
          </w:p>
        </w:tc>
        <w:tc>
          <w:tcPr>
            <w:tcW w:w="677" w:type="pct"/>
            <w:gridSpan w:val="4"/>
            <w:vMerge/>
            <w:shd w:val="clear" w:color="auto" w:fill="auto"/>
          </w:tcPr>
          <w:p w14:paraId="0A8CF45D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</w:tr>
      <w:tr w:rsidR="001629FF" w:rsidRPr="00865ACD" w14:paraId="4B2CF16B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4C69AB26" w14:textId="77777777" w:rsidR="001629FF" w:rsidRPr="00865ACD" w:rsidRDefault="001629FF" w:rsidP="00182DE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</w:t>
            </w:r>
            <w:r w:rsidRPr="00865AC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735" w:type="pct"/>
            <w:gridSpan w:val="18"/>
          </w:tcPr>
          <w:p w14:paraId="0CD7BAFB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bCs/>
                <w:sz w:val="22"/>
                <w:szCs w:val="22"/>
              </w:rPr>
              <w:t>Сфера наружной рекламы</w:t>
            </w:r>
          </w:p>
        </w:tc>
      </w:tr>
      <w:tr w:rsidR="001629FF" w:rsidRPr="00865ACD" w14:paraId="06D7DC89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1636859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865ACD">
              <w:rPr>
                <w:sz w:val="22"/>
                <w:szCs w:val="22"/>
              </w:rPr>
              <w:t>.1.</w:t>
            </w:r>
          </w:p>
        </w:tc>
        <w:tc>
          <w:tcPr>
            <w:tcW w:w="993" w:type="pct"/>
            <w:shd w:val="clear" w:color="auto" w:fill="auto"/>
          </w:tcPr>
          <w:p w14:paraId="44AFC50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  <w:p w14:paraId="262668D9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14:paraId="2A91155D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auto"/>
          </w:tcPr>
          <w:p w14:paraId="1AED640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  <w:p w14:paraId="2023592E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0720FE2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266" w:type="pct"/>
            <w:shd w:val="clear" w:color="auto" w:fill="auto"/>
          </w:tcPr>
          <w:p w14:paraId="17C1BEE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14:paraId="7EC4B2D9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14:paraId="5B0E2B5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49A2646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100</w:t>
            </w:r>
          </w:p>
        </w:tc>
        <w:tc>
          <w:tcPr>
            <w:tcW w:w="629" w:type="pct"/>
            <w:gridSpan w:val="3"/>
            <w:shd w:val="clear" w:color="auto" w:fill="auto"/>
          </w:tcPr>
          <w:p w14:paraId="75F39B09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Снижение административных барьеров</w:t>
            </w:r>
          </w:p>
        </w:tc>
        <w:tc>
          <w:tcPr>
            <w:tcW w:w="678" w:type="pct"/>
            <w:gridSpan w:val="4"/>
            <w:shd w:val="clear" w:color="auto" w:fill="auto"/>
          </w:tcPr>
          <w:p w14:paraId="1D8FA8A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D2354">
              <w:rPr>
                <w:sz w:val="22"/>
                <w:szCs w:val="22"/>
              </w:rPr>
              <w:t>Сектор по поддержке малого бизнеса</w:t>
            </w:r>
            <w:r w:rsidRPr="00865ACD">
              <w:rPr>
                <w:sz w:val="22"/>
                <w:szCs w:val="22"/>
              </w:rPr>
              <w:t>,</w:t>
            </w:r>
          </w:p>
          <w:p w14:paraId="2B44BB7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865ACD">
              <w:rPr>
                <w:sz w:val="22"/>
                <w:szCs w:val="22"/>
              </w:rPr>
              <w:t>АНО «Шахунский центр развития бизнеса»</w:t>
            </w:r>
          </w:p>
        </w:tc>
      </w:tr>
      <w:tr w:rsidR="001629FF" w:rsidRPr="00865ACD" w14:paraId="0DBF2636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234184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735" w:type="pct"/>
            <w:gridSpan w:val="18"/>
            <w:shd w:val="clear" w:color="auto" w:fill="auto"/>
          </w:tcPr>
          <w:p w14:paraId="4393876D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9947D0">
              <w:rPr>
                <w:sz w:val="22"/>
                <w:szCs w:val="22"/>
              </w:rPr>
              <w:t>Рынок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629FF" w:rsidRPr="00865ACD" w14:paraId="1DD6B3E2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79298F4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993" w:type="pct"/>
            <w:vAlign w:val="center"/>
          </w:tcPr>
          <w:p w14:paraId="4A6A7055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7064491D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5255CE60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034859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  <w:p w14:paraId="40DB27FE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 w:val="restart"/>
          </w:tcPr>
          <w:p w14:paraId="329A236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5E4DD281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6A918AC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6C8523E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vMerge w:val="restart"/>
            <w:shd w:val="clear" w:color="auto" w:fill="auto"/>
          </w:tcPr>
          <w:p w14:paraId="4ABEE5D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3"/>
            <w:vMerge w:val="restart"/>
            <w:shd w:val="clear" w:color="auto" w:fill="auto"/>
          </w:tcPr>
          <w:p w14:paraId="1884B823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034859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678" w:type="pct"/>
            <w:gridSpan w:val="4"/>
            <w:vMerge w:val="restart"/>
            <w:shd w:val="clear" w:color="auto" w:fill="auto"/>
          </w:tcPr>
          <w:p w14:paraId="3698C55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231653">
              <w:rPr>
                <w:sz w:val="22"/>
                <w:szCs w:val="22"/>
              </w:rPr>
              <w:t>Отдел промышленности</w:t>
            </w:r>
          </w:p>
        </w:tc>
      </w:tr>
      <w:tr w:rsidR="001629FF" w:rsidRPr="00865ACD" w14:paraId="52F1C5FB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50BF977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993" w:type="pct"/>
            <w:vAlign w:val="center"/>
          </w:tcPr>
          <w:p w14:paraId="61221960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</w:t>
            </w:r>
          </w:p>
        </w:tc>
        <w:tc>
          <w:tcPr>
            <w:tcW w:w="315" w:type="pct"/>
            <w:vMerge/>
            <w:shd w:val="clear" w:color="auto" w:fill="auto"/>
          </w:tcPr>
          <w:p w14:paraId="743468B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19A2237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</w:tcPr>
          <w:p w14:paraId="7C36CD1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5D65DA4B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27745646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351E8BE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vMerge/>
            <w:shd w:val="clear" w:color="auto" w:fill="auto"/>
          </w:tcPr>
          <w:p w14:paraId="6FE9F9E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gridSpan w:val="3"/>
            <w:vMerge/>
            <w:shd w:val="clear" w:color="auto" w:fill="auto"/>
          </w:tcPr>
          <w:p w14:paraId="7E24FCB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6BFFE49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2F69B3E0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2045068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2.5.3.</w:t>
            </w:r>
          </w:p>
        </w:tc>
        <w:tc>
          <w:tcPr>
            <w:tcW w:w="993" w:type="pct"/>
          </w:tcPr>
          <w:p w14:paraId="13182271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 xml:space="preserve">Формирование сети регулярных муниципальных маршрутов с учетом предложений негосударственных перевозчиков </w:t>
            </w:r>
          </w:p>
        </w:tc>
        <w:tc>
          <w:tcPr>
            <w:tcW w:w="315" w:type="pct"/>
            <w:vMerge/>
            <w:shd w:val="clear" w:color="auto" w:fill="auto"/>
          </w:tcPr>
          <w:p w14:paraId="1FEE01C6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08C6CFA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 w:val="restart"/>
          </w:tcPr>
          <w:p w14:paraId="4E19723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14:paraId="413F906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3E94ADB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68DA2D6F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vMerge w:val="restart"/>
            <w:shd w:val="clear" w:color="auto" w:fill="auto"/>
          </w:tcPr>
          <w:p w14:paraId="150DEC3E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3"/>
            <w:vMerge w:val="restart"/>
            <w:shd w:val="clear" w:color="auto" w:fill="auto"/>
          </w:tcPr>
          <w:p w14:paraId="522CD619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034859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работы </w:t>
            </w:r>
            <w:r w:rsidRPr="00034859">
              <w:rPr>
                <w:sz w:val="22"/>
                <w:szCs w:val="22"/>
              </w:rPr>
              <w:lastRenderedPageBreak/>
              <w:t>на рынке пассажирских перевозок наземным транспортом</w:t>
            </w: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1D1E532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04D08A8B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052659A4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2.5.4.</w:t>
            </w:r>
          </w:p>
        </w:tc>
        <w:tc>
          <w:tcPr>
            <w:tcW w:w="993" w:type="pct"/>
          </w:tcPr>
          <w:p w14:paraId="2B49A413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Мониторинг пассажиропотока и потребностей в корректировке маршрутной сети Нижегородской области и создание, при необходимости, новых маршрутов</w:t>
            </w:r>
          </w:p>
        </w:tc>
        <w:tc>
          <w:tcPr>
            <w:tcW w:w="315" w:type="pct"/>
            <w:vMerge/>
            <w:shd w:val="clear" w:color="auto" w:fill="auto"/>
          </w:tcPr>
          <w:p w14:paraId="432828E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76B6AC2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</w:tcPr>
          <w:p w14:paraId="58F7BD92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14:paraId="33305CB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61608CD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14:paraId="5007600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vMerge/>
            <w:shd w:val="clear" w:color="auto" w:fill="auto"/>
          </w:tcPr>
          <w:p w14:paraId="45FBE38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gridSpan w:val="3"/>
            <w:vMerge/>
            <w:shd w:val="clear" w:color="auto" w:fill="auto"/>
          </w:tcPr>
          <w:p w14:paraId="6B549CF7" w14:textId="77777777" w:rsidR="001629FF" w:rsidRPr="00865ACD" w:rsidRDefault="001629FF" w:rsidP="00182DEE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2816914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4FA8C0FA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4F5FB4FC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2.5.5.</w:t>
            </w:r>
          </w:p>
        </w:tc>
        <w:tc>
          <w:tcPr>
            <w:tcW w:w="993" w:type="pct"/>
          </w:tcPr>
          <w:p w14:paraId="25AF141F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Разработка документа планирования муниципальных маршрутов регулярных перевозок с учетом полученной в результате мониторинга информации</w:t>
            </w:r>
          </w:p>
        </w:tc>
        <w:tc>
          <w:tcPr>
            <w:tcW w:w="315" w:type="pct"/>
            <w:vMerge/>
            <w:shd w:val="clear" w:color="auto" w:fill="auto"/>
          </w:tcPr>
          <w:p w14:paraId="48A3A44E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48E32345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034859">
              <w:rPr>
                <w:sz w:val="22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273" w:type="pct"/>
          </w:tcPr>
          <w:p w14:paraId="4CCCED3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6CB597C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0D8C4845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59BD418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4C87B64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3"/>
            <w:shd w:val="clear" w:color="auto" w:fill="auto"/>
          </w:tcPr>
          <w:p w14:paraId="0D699526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034859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268B78DF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45CD506E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180018FB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735" w:type="pct"/>
            <w:gridSpan w:val="18"/>
            <w:shd w:val="clear" w:color="auto" w:fill="auto"/>
          </w:tcPr>
          <w:p w14:paraId="56CB06B6" w14:textId="77777777" w:rsidR="001629FF" w:rsidRPr="00865ACD" w:rsidRDefault="001629FF" w:rsidP="00182DEE">
            <w:pPr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Рынок деятельности в сфере туризма, в том числе рынок гостиничных услуг</w:t>
            </w:r>
          </w:p>
        </w:tc>
      </w:tr>
      <w:tr w:rsidR="001629FF" w:rsidRPr="00865ACD" w14:paraId="22ECCDC4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70935D6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993" w:type="pct"/>
            <w:vAlign w:val="center"/>
          </w:tcPr>
          <w:p w14:paraId="607349A1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Оказание консультационных услуг субъектам туристской индустрии по разработке туристских маршрутов, связанных с посещением туристских центров Нижегородской области</w:t>
            </w:r>
          </w:p>
        </w:tc>
        <w:tc>
          <w:tcPr>
            <w:tcW w:w="315" w:type="pct"/>
            <w:vMerge w:val="restart"/>
            <w:shd w:val="clear" w:color="auto" w:fill="auto"/>
          </w:tcPr>
          <w:p w14:paraId="41DC803A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2022 -2025 года</w:t>
            </w:r>
          </w:p>
        </w:tc>
        <w:tc>
          <w:tcPr>
            <w:tcW w:w="726" w:type="pct"/>
            <w:shd w:val="clear" w:color="auto" w:fill="auto"/>
          </w:tcPr>
          <w:p w14:paraId="433009A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9947D0">
              <w:rPr>
                <w:sz w:val="22"/>
                <w:szCs w:val="22"/>
              </w:rPr>
              <w:t>Количество проведенных консультаций (нарастающим итогом к показателю 2021 году), ед.</w:t>
            </w:r>
          </w:p>
        </w:tc>
        <w:tc>
          <w:tcPr>
            <w:tcW w:w="273" w:type="pct"/>
          </w:tcPr>
          <w:p w14:paraId="24EE808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6CC51AAC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14:paraId="609D26B4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7E2A8B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1D6F992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3"/>
            <w:vMerge w:val="restart"/>
            <w:shd w:val="clear" w:color="auto" w:fill="auto"/>
          </w:tcPr>
          <w:p w14:paraId="5D541043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Увеличение охвата населения области услугами туристических организаций</w:t>
            </w:r>
          </w:p>
        </w:tc>
        <w:tc>
          <w:tcPr>
            <w:tcW w:w="678" w:type="pct"/>
            <w:gridSpan w:val="4"/>
            <w:vMerge w:val="restart"/>
            <w:shd w:val="clear" w:color="auto" w:fill="auto"/>
          </w:tcPr>
          <w:p w14:paraId="7D00CE0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 w:rsidRPr="00231653">
              <w:rPr>
                <w:sz w:val="22"/>
                <w:szCs w:val="22"/>
              </w:rPr>
              <w:t>Муниципальное казенное учреждение культуры "</w:t>
            </w:r>
            <w:r>
              <w:rPr>
                <w:sz w:val="22"/>
                <w:szCs w:val="22"/>
              </w:rPr>
              <w:t>Ц</w:t>
            </w:r>
            <w:r w:rsidRPr="00231653">
              <w:rPr>
                <w:sz w:val="22"/>
                <w:szCs w:val="22"/>
              </w:rPr>
              <w:t xml:space="preserve">ентр организационно-методической работы учреждений культуры городского округа город </w:t>
            </w:r>
            <w:r>
              <w:rPr>
                <w:sz w:val="22"/>
                <w:szCs w:val="22"/>
              </w:rPr>
              <w:t>Шахунья Н</w:t>
            </w:r>
            <w:r w:rsidRPr="00231653">
              <w:rPr>
                <w:sz w:val="22"/>
                <w:szCs w:val="22"/>
              </w:rPr>
              <w:t>ижегородской области"</w:t>
            </w:r>
          </w:p>
        </w:tc>
      </w:tr>
      <w:tr w:rsidR="001629FF" w:rsidRPr="00865ACD" w14:paraId="7CBF6C10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719EAF5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993" w:type="pct"/>
          </w:tcPr>
          <w:p w14:paraId="6FB9A652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>Содействие созданию (развитию деятельности) объектов туристской индустрии в кластере «Арзамас – Саров - Дивеево» Нижегородской области</w:t>
            </w:r>
          </w:p>
        </w:tc>
        <w:tc>
          <w:tcPr>
            <w:tcW w:w="315" w:type="pct"/>
            <w:vMerge/>
            <w:shd w:val="clear" w:color="auto" w:fill="auto"/>
          </w:tcPr>
          <w:p w14:paraId="402E9299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shd w:val="clear" w:color="auto" w:fill="auto"/>
          </w:tcPr>
          <w:p w14:paraId="55BAC655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Количество созданных объектов туриндустрии (нарастающим итогом, начиная с 2021 года), ед.</w:t>
            </w:r>
          </w:p>
        </w:tc>
        <w:tc>
          <w:tcPr>
            <w:tcW w:w="273" w:type="pct"/>
          </w:tcPr>
          <w:p w14:paraId="7957810B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2CFE7EDB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3A5554C7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76A21920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43AAE1BA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3"/>
            <w:vMerge/>
            <w:shd w:val="clear" w:color="auto" w:fill="auto"/>
          </w:tcPr>
          <w:p w14:paraId="0DA27537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2C776DE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  <w:tr w:rsidR="001629FF" w:rsidRPr="00865ACD" w14:paraId="04DA2CB0" w14:textId="77777777" w:rsidTr="00182DEE">
        <w:tblPrEx>
          <w:tblLook w:val="0620" w:firstRow="1" w:lastRow="0" w:firstColumn="0" w:lastColumn="0" w:noHBand="1" w:noVBand="1"/>
        </w:tblPrEx>
        <w:tc>
          <w:tcPr>
            <w:tcW w:w="265" w:type="pct"/>
            <w:shd w:val="clear" w:color="auto" w:fill="auto"/>
          </w:tcPr>
          <w:p w14:paraId="56A1906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993" w:type="pct"/>
          </w:tcPr>
          <w:p w14:paraId="0F2DC385" w14:textId="77777777" w:rsidR="001629FF" w:rsidRPr="00D32CB8" w:rsidRDefault="001629FF" w:rsidP="00182DEE">
            <w:pPr>
              <w:jc w:val="both"/>
              <w:rPr>
                <w:sz w:val="22"/>
                <w:szCs w:val="22"/>
              </w:rPr>
            </w:pPr>
            <w:r w:rsidRPr="00D32CB8">
              <w:rPr>
                <w:sz w:val="22"/>
                <w:szCs w:val="22"/>
              </w:rPr>
              <w:t xml:space="preserve">Разработка чек-листов по существующим мерам государственной поддержки бизнеса на рынке деятельности в сфере туризма, в том числе рынке гостиничных услуг, и условиям ее получения; </w:t>
            </w:r>
            <w:r w:rsidRPr="00D32CB8">
              <w:rPr>
                <w:sz w:val="22"/>
                <w:szCs w:val="22"/>
              </w:rPr>
              <w:lastRenderedPageBreak/>
              <w:t>размещение их на официальном сайте в сети «Интернет»</w:t>
            </w:r>
          </w:p>
        </w:tc>
        <w:tc>
          <w:tcPr>
            <w:tcW w:w="315" w:type="pct"/>
            <w:vMerge/>
            <w:shd w:val="clear" w:color="auto" w:fill="auto"/>
          </w:tcPr>
          <w:p w14:paraId="69B281B5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0026E608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pct"/>
          </w:tcPr>
          <w:p w14:paraId="6F537C3F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70D277B1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14:paraId="5546C4CD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14:paraId="16F8BDEC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0" w:type="pct"/>
            <w:gridSpan w:val="4"/>
            <w:shd w:val="clear" w:color="auto" w:fill="auto"/>
          </w:tcPr>
          <w:p w14:paraId="5F9ACB38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9" w:type="pct"/>
            <w:gridSpan w:val="3"/>
            <w:shd w:val="clear" w:color="auto" w:fill="auto"/>
          </w:tcPr>
          <w:p w14:paraId="5072FDEE" w14:textId="77777777" w:rsidR="001629FF" w:rsidRPr="00865ACD" w:rsidRDefault="001629FF" w:rsidP="00182DEE">
            <w:pPr>
              <w:jc w:val="both"/>
              <w:rPr>
                <w:sz w:val="22"/>
                <w:szCs w:val="22"/>
              </w:rPr>
            </w:pPr>
            <w:r w:rsidRPr="005E3F18">
              <w:rPr>
                <w:sz w:val="22"/>
                <w:szCs w:val="22"/>
              </w:rPr>
              <w:t>Снижение административных барьеров</w:t>
            </w:r>
          </w:p>
        </w:tc>
        <w:tc>
          <w:tcPr>
            <w:tcW w:w="678" w:type="pct"/>
            <w:gridSpan w:val="4"/>
            <w:vMerge/>
            <w:shd w:val="clear" w:color="auto" w:fill="auto"/>
          </w:tcPr>
          <w:p w14:paraId="66848473" w14:textId="77777777" w:rsidR="001629FF" w:rsidRPr="00865ACD" w:rsidRDefault="001629FF" w:rsidP="00182D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75FEF9" w14:textId="68E7D205" w:rsidR="00C76CB2" w:rsidRDefault="001629FF" w:rsidP="001629FF">
      <w:pPr>
        <w:jc w:val="center"/>
        <w:rPr>
          <w:sz w:val="22"/>
          <w:szCs w:val="22"/>
        </w:rPr>
      </w:pPr>
      <w:r w:rsidRPr="00865ACD">
        <w:rPr>
          <w:sz w:val="22"/>
          <w:szCs w:val="22"/>
        </w:rPr>
        <w:t>__________________________</w:t>
      </w:r>
    </w:p>
    <w:sectPr w:rsidR="00C76CB2" w:rsidSect="00C272A3">
      <w:footerReference w:type="default" r:id="rId9"/>
      <w:headerReference w:type="first" r:id="rId10"/>
      <w:pgSz w:w="16838" w:h="11906" w:orient="landscape"/>
      <w:pgMar w:top="720" w:right="68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D16B" w14:textId="77777777" w:rsidR="001C6273" w:rsidRDefault="001C6273">
      <w:r>
        <w:separator/>
      </w:r>
    </w:p>
  </w:endnote>
  <w:endnote w:type="continuationSeparator" w:id="0">
    <w:p w14:paraId="17EC2552" w14:textId="77777777" w:rsidR="001C6273" w:rsidRDefault="001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361" w14:textId="77777777" w:rsidR="00BD3991" w:rsidRDefault="00000000">
    <w:pPr>
      <w:pStyle w:val="a6"/>
      <w:jc w:val="right"/>
    </w:pPr>
  </w:p>
  <w:p w14:paraId="7C9D347D" w14:textId="77777777" w:rsidR="00BD3991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670E" w14:textId="77777777" w:rsidR="001C6273" w:rsidRDefault="001C6273">
      <w:r>
        <w:separator/>
      </w:r>
    </w:p>
  </w:footnote>
  <w:footnote w:type="continuationSeparator" w:id="0">
    <w:p w14:paraId="50DF60FC" w14:textId="77777777" w:rsidR="001C6273" w:rsidRDefault="001C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D974" w14:textId="77777777" w:rsidR="00BD3991" w:rsidRPr="00044DE9" w:rsidRDefault="00000000" w:rsidP="00044D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19"/>
  </w:num>
  <w:num w:numId="4" w16cid:durableId="590700948">
    <w:abstractNumId w:val="16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5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8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4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7"/>
  </w:num>
  <w:num w:numId="21" w16cid:durableId="125089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29FF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C6273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046E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2023-05-18T08:57:00Z</cp:lastPrinted>
  <dcterms:created xsi:type="dcterms:W3CDTF">2023-05-18T08:58:00Z</dcterms:created>
  <dcterms:modified xsi:type="dcterms:W3CDTF">2023-05-18T08:58:00Z</dcterms:modified>
</cp:coreProperties>
</file>