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49A5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A942FC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2023 года</w:t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</w:r>
      <w:r w:rsidR="009649A5">
        <w:rPr>
          <w:sz w:val="26"/>
          <w:szCs w:val="26"/>
        </w:rPr>
        <w:tab/>
        <w:t xml:space="preserve">      </w:t>
      </w:r>
      <w:r w:rsidR="00C76C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649A5">
        <w:rPr>
          <w:sz w:val="26"/>
          <w:szCs w:val="26"/>
          <w:u w:val="single"/>
        </w:rPr>
        <w:t>107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9649A5" w:rsidRPr="009649A5" w:rsidRDefault="009649A5" w:rsidP="009649A5">
      <w:pPr>
        <w:pStyle w:val="ConsPlusTitle"/>
        <w:ind w:right="552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649A5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Плана мероприятий (Дорожная карта)</w:t>
      </w:r>
      <w:r w:rsidRPr="009649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649A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централизации бухгалтерского (бюджетного) учета и отчетности в органах местного самоуправления городского округа город Шахунья Нижегородской области </w:t>
      </w:r>
    </w:p>
    <w:p w:rsidR="009649A5" w:rsidRDefault="009649A5" w:rsidP="00964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9A5" w:rsidRDefault="009649A5" w:rsidP="00964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9A5" w:rsidRPr="009649A5" w:rsidRDefault="009649A5" w:rsidP="009649A5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9A5">
        <w:rPr>
          <w:rFonts w:ascii="Times New Roman" w:hAnsi="Times New Roman" w:cs="Times New Roman"/>
          <w:sz w:val="26"/>
          <w:szCs w:val="26"/>
        </w:rPr>
        <w:t xml:space="preserve">Утвердить прилагаемый План мероприятий (Дорожная карта) по централизации бухгалтерского (бюджетного) учета и отчетности в органах местного самоуправления городского округа город Шахунья Нижегородской области (далее Дорожная карта). </w:t>
      </w:r>
    </w:p>
    <w:p w:rsidR="009649A5" w:rsidRPr="009649A5" w:rsidRDefault="009649A5" w:rsidP="009649A5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49A5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области, Управлению по работе с территориями и благоустройству администрации городского округа город Шахунья Нижегородской области, </w:t>
      </w:r>
      <w:proofErr w:type="spellStart"/>
      <w:r w:rsidRPr="009649A5">
        <w:rPr>
          <w:rFonts w:ascii="Times New Roman" w:hAnsi="Times New Roman" w:cs="Times New Roman"/>
          <w:sz w:val="26"/>
          <w:szCs w:val="26"/>
        </w:rPr>
        <w:t>Вахтанскому</w:t>
      </w:r>
      <w:proofErr w:type="spellEnd"/>
      <w:r w:rsidRPr="009649A5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области, </w:t>
      </w:r>
      <w:proofErr w:type="spellStart"/>
      <w:r w:rsidRPr="009649A5">
        <w:rPr>
          <w:rFonts w:ascii="Times New Roman" w:hAnsi="Times New Roman" w:cs="Times New Roman"/>
          <w:sz w:val="26"/>
          <w:szCs w:val="26"/>
        </w:rPr>
        <w:t>Сявскому</w:t>
      </w:r>
      <w:proofErr w:type="spellEnd"/>
      <w:r w:rsidRPr="009649A5">
        <w:rPr>
          <w:rFonts w:ascii="Times New Roman" w:hAnsi="Times New Roman" w:cs="Times New Roman"/>
          <w:sz w:val="26"/>
          <w:szCs w:val="26"/>
        </w:rPr>
        <w:t xml:space="preserve"> территориальному отделу администрации городского округа город Шахунья Нижегородской области, Отделу муниципального имущества и земельных ресурсов городского округа город Шахунья Нижегородской области, Совету депутатов городского округа город Шахунья Нижегородской</w:t>
      </w:r>
      <w:proofErr w:type="gramEnd"/>
      <w:r w:rsidRPr="009649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49A5">
        <w:rPr>
          <w:rFonts w:ascii="Times New Roman" w:hAnsi="Times New Roman" w:cs="Times New Roman"/>
          <w:sz w:val="26"/>
          <w:szCs w:val="26"/>
        </w:rPr>
        <w:t xml:space="preserve">области, Контрольно-счетной комиссии городского округа город Шахунья Нижегородской области, Муниципальному бюджетному учреждению «Благоустройство» в связи с передачей функций по ведению бухгалтерского (бюджетного) учета и отчетности муниципальному казенному учреждению «Учреждение по обеспечению деятельности органов местного </w:t>
      </w:r>
      <w:r w:rsidRPr="009649A5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городского округа город Шахунья Нижегородской области» осуществить в установленном порядке проведение мероприятий в соответствии с Дорожной картой. </w:t>
      </w:r>
      <w:proofErr w:type="gramEnd"/>
    </w:p>
    <w:p w:rsidR="009649A5" w:rsidRPr="009649A5" w:rsidRDefault="009649A5" w:rsidP="009649A5">
      <w:pPr>
        <w:pStyle w:val="ConsPlusNormal"/>
        <w:numPr>
          <w:ilvl w:val="0"/>
          <w:numId w:val="21"/>
        </w:numPr>
        <w:tabs>
          <w:tab w:val="left" w:pos="1134"/>
        </w:tabs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49A5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</w:t>
      </w:r>
      <w:r w:rsidRPr="009649A5">
        <w:rPr>
          <w:rFonts w:ascii="Times New Roman" w:hAnsi="Times New Roman"/>
          <w:sz w:val="26"/>
          <w:szCs w:val="26"/>
        </w:rPr>
        <w:t xml:space="preserve"> области.</w:t>
      </w:r>
    </w:p>
    <w:p w:rsidR="009649A5" w:rsidRPr="009649A5" w:rsidRDefault="009649A5" w:rsidP="009649A5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649A5">
        <w:rPr>
          <w:rFonts w:ascii="Times New Roman" w:hAnsi="Times New Roman"/>
          <w:sz w:val="26"/>
          <w:szCs w:val="26"/>
        </w:rPr>
        <w:t>3. Настоящее распоряжение вступает в силу после его подписания.</w:t>
      </w:r>
    </w:p>
    <w:p w:rsidR="009649A5" w:rsidRPr="009649A5" w:rsidRDefault="009649A5" w:rsidP="009649A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49A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649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49A5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9649A5" w:rsidRDefault="009649A5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9649A5" w:rsidRDefault="009649A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49A5" w:rsidRPr="009649A5" w:rsidRDefault="009649A5" w:rsidP="009649A5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49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9649A5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9649A5" w:rsidRPr="009649A5" w:rsidRDefault="009649A5" w:rsidP="009649A5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9A5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9649A5" w:rsidRPr="009649A5" w:rsidRDefault="009649A5" w:rsidP="009649A5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9A5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649A5" w:rsidRPr="009649A5" w:rsidRDefault="009649A5" w:rsidP="009649A5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9A5">
        <w:rPr>
          <w:rFonts w:ascii="Times New Roman" w:hAnsi="Times New Roman" w:cs="Times New Roman"/>
          <w:sz w:val="24"/>
          <w:szCs w:val="24"/>
        </w:rPr>
        <w:t>от 09.03.2023 г. № 107-р</w:t>
      </w:r>
    </w:p>
    <w:bookmarkEnd w:id="0"/>
    <w:p w:rsidR="009649A5" w:rsidRPr="009649A5" w:rsidRDefault="009649A5" w:rsidP="00964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9A5" w:rsidRPr="009649A5" w:rsidRDefault="009649A5" w:rsidP="00964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9A5" w:rsidRPr="009649A5" w:rsidRDefault="009649A5" w:rsidP="009649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9"/>
      <w:bookmarkEnd w:id="1"/>
      <w:r w:rsidRPr="009649A5">
        <w:rPr>
          <w:rFonts w:ascii="Times New Roman" w:hAnsi="Times New Roman" w:cs="Times New Roman"/>
          <w:sz w:val="24"/>
          <w:szCs w:val="24"/>
        </w:rPr>
        <w:t>План мероприятий (Дорожная карта)</w:t>
      </w:r>
    </w:p>
    <w:p w:rsidR="009649A5" w:rsidRPr="009649A5" w:rsidRDefault="009649A5" w:rsidP="009649A5">
      <w:pPr>
        <w:ind w:left="426" w:right="282"/>
        <w:jc w:val="center"/>
        <w:rPr>
          <w:b/>
        </w:rPr>
      </w:pPr>
      <w:r w:rsidRPr="009649A5">
        <w:rPr>
          <w:b/>
        </w:rPr>
        <w:t xml:space="preserve">по централизации </w:t>
      </w:r>
      <w:proofErr w:type="gramStart"/>
      <w:r w:rsidRPr="009649A5">
        <w:rPr>
          <w:b/>
        </w:rPr>
        <w:t>бухгалтерского</w:t>
      </w:r>
      <w:proofErr w:type="gramEnd"/>
      <w:r w:rsidRPr="009649A5">
        <w:rPr>
          <w:b/>
        </w:rPr>
        <w:t xml:space="preserve"> (бюджетного)</w:t>
      </w:r>
      <w:r w:rsidRPr="009649A5">
        <w:rPr>
          <w:b/>
          <w:bCs/>
        </w:rPr>
        <w:t xml:space="preserve"> и отчетности</w:t>
      </w:r>
      <w:r w:rsidRPr="009649A5">
        <w:rPr>
          <w:b/>
        </w:rPr>
        <w:t xml:space="preserve"> </w:t>
      </w:r>
    </w:p>
    <w:p w:rsidR="009649A5" w:rsidRPr="009649A5" w:rsidRDefault="009649A5" w:rsidP="009649A5">
      <w:pPr>
        <w:ind w:left="426" w:right="282"/>
        <w:jc w:val="center"/>
        <w:rPr>
          <w:b/>
        </w:rPr>
      </w:pPr>
      <w:r w:rsidRPr="009649A5">
        <w:rPr>
          <w:b/>
        </w:rPr>
        <w:t xml:space="preserve">в органах местного самоуправления городского округа город Шахунья </w:t>
      </w:r>
    </w:p>
    <w:p w:rsidR="009649A5" w:rsidRPr="009649A5" w:rsidRDefault="009649A5" w:rsidP="009649A5">
      <w:pPr>
        <w:ind w:left="426" w:right="282"/>
        <w:jc w:val="center"/>
      </w:pPr>
      <w:r w:rsidRPr="009649A5">
        <w:rPr>
          <w:b/>
        </w:rPr>
        <w:t xml:space="preserve">Нижегородской области </w:t>
      </w:r>
    </w:p>
    <w:p w:rsidR="009649A5" w:rsidRPr="009649A5" w:rsidRDefault="009649A5" w:rsidP="00964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9A5" w:rsidRPr="009649A5" w:rsidRDefault="009649A5" w:rsidP="009649A5"/>
    <w:tbl>
      <w:tblPr>
        <w:tblStyle w:val="13"/>
        <w:tblW w:w="489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1"/>
        <w:gridCol w:w="3691"/>
        <w:gridCol w:w="2000"/>
        <w:gridCol w:w="1537"/>
        <w:gridCol w:w="1903"/>
      </w:tblGrid>
      <w:tr w:rsidR="009649A5" w:rsidRPr="009649A5" w:rsidTr="00CB4AF3">
        <w:trPr>
          <w:trHeight w:val="964"/>
        </w:trPr>
        <w:tc>
          <w:tcPr>
            <w:tcW w:w="403" w:type="pct"/>
          </w:tcPr>
          <w:p w:rsidR="009649A5" w:rsidRPr="009649A5" w:rsidRDefault="009649A5" w:rsidP="00CB4AF3">
            <w:pPr>
              <w:ind w:righ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649A5" w:rsidRPr="009649A5" w:rsidRDefault="009649A5" w:rsidP="00CB4AF3">
            <w:pPr>
              <w:ind w:right="-14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7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 мероприятия</w:t>
            </w:r>
          </w:p>
        </w:tc>
        <w:tc>
          <w:tcPr>
            <w:tcW w:w="774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9649A5" w:rsidRPr="009649A5" w:rsidRDefault="009649A5" w:rsidP="00CB4AF3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  <w:p w:rsidR="009649A5" w:rsidRPr="009649A5" w:rsidRDefault="009649A5" w:rsidP="00CB4AF3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9A5" w:rsidRPr="009649A5" w:rsidRDefault="009649A5" w:rsidP="009649A5"/>
    <w:tbl>
      <w:tblPr>
        <w:tblStyle w:val="13"/>
        <w:tblW w:w="48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3691"/>
        <w:gridCol w:w="1997"/>
        <w:gridCol w:w="1542"/>
        <w:gridCol w:w="1905"/>
      </w:tblGrid>
      <w:tr w:rsidR="009649A5" w:rsidRPr="009649A5" w:rsidTr="00CB4AF3">
        <w:trPr>
          <w:trHeight w:val="212"/>
          <w:tblHeader/>
        </w:trPr>
        <w:tc>
          <w:tcPr>
            <w:tcW w:w="402" w:type="pct"/>
          </w:tcPr>
          <w:p w:rsidR="009649A5" w:rsidRPr="009649A5" w:rsidRDefault="009649A5" w:rsidP="00CB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9649A5" w:rsidRPr="009649A5" w:rsidRDefault="009649A5" w:rsidP="00CB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pct"/>
          </w:tcPr>
          <w:p w:rsidR="009649A5" w:rsidRPr="009649A5" w:rsidRDefault="009649A5" w:rsidP="00CB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649A5" w:rsidRPr="009649A5" w:rsidTr="00CB4AF3">
        <w:tc>
          <w:tcPr>
            <w:tcW w:w="5000" w:type="pct"/>
            <w:gridSpan w:val="5"/>
          </w:tcPr>
          <w:p w:rsidR="009649A5" w:rsidRPr="009649A5" w:rsidRDefault="009649A5" w:rsidP="00CB4AF3">
            <w:pPr>
              <w:ind w:left="-142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Разработка нормативно-правовых актов, методических и организационно-распорядительных документов по централизации учета и отчетности</w:t>
            </w:r>
          </w:p>
        </w:tc>
      </w:tr>
      <w:tr w:rsidR="009649A5" w:rsidRPr="009649A5" w:rsidTr="00CB4AF3">
        <w:tc>
          <w:tcPr>
            <w:tcW w:w="402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нормативно-правового акта (далее – НПА) о сроках передачи функций по ведению </w:t>
            </w: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бухгалтерского (бюджетного)</w:t>
            </w: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 и отчетности в 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 (далее - МКУ «Учреждение по обеспечению деятельности ОМСУ»), разработка и утверждение Дорожной карты по централизации</w:t>
            </w:r>
          </w:p>
        </w:tc>
        <w:tc>
          <w:tcPr>
            <w:tcW w:w="1005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проект распоряжения</w:t>
            </w:r>
          </w:p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До 20.03.2023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 </w:t>
            </w:r>
          </w:p>
        </w:tc>
      </w:tr>
      <w:tr w:rsidR="009649A5" w:rsidRPr="009649A5" w:rsidTr="00CB4AF3">
        <w:tc>
          <w:tcPr>
            <w:tcW w:w="402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типового соглашения о передаче полномочий по ведению бухгалтерского (бюджетного) учета и отчетности </w:t>
            </w:r>
          </w:p>
        </w:tc>
        <w:tc>
          <w:tcPr>
            <w:tcW w:w="1005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проект соглашения о передаче полномочий</w:t>
            </w:r>
          </w:p>
        </w:tc>
        <w:tc>
          <w:tcPr>
            <w:tcW w:w="776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До 30.03.2023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 </w:t>
            </w:r>
          </w:p>
        </w:tc>
      </w:tr>
      <w:tr w:rsidR="009649A5" w:rsidRPr="009649A5" w:rsidTr="00CB4AF3">
        <w:tc>
          <w:tcPr>
            <w:tcW w:w="402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соглашения о передаче полномочий по ведению бухгалтерского (бюджетного) учета и отчетности с МКУ «Учреждение по обеспечению деятельности ОМСУ»</w:t>
            </w:r>
          </w:p>
        </w:tc>
        <w:tc>
          <w:tcPr>
            <w:tcW w:w="1005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776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Управление по работе с территориями и благоустройству, </w:t>
            </w:r>
            <w:proofErr w:type="spellStart"/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Вахтанский</w:t>
            </w:r>
            <w:proofErr w:type="spellEnd"/>
            <w:r w:rsidRPr="009649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</w:t>
            </w:r>
            <w:proofErr w:type="spellStart"/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Сявский</w:t>
            </w:r>
            <w:proofErr w:type="spellEnd"/>
            <w:r w:rsidRPr="009649A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Отдел муниципальног</w:t>
            </w:r>
            <w:r w:rsidRPr="00964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имущества и земельных ресурсов, Совет депутатов, Контрольно-счетная комиссия, МБУ «Благоустройство», МКУ «Учреждение по обеспечению деятельности ОМСУ»</w:t>
            </w:r>
          </w:p>
        </w:tc>
      </w:tr>
      <w:tr w:rsidR="009649A5" w:rsidRPr="009649A5" w:rsidTr="00CB4AF3">
        <w:tc>
          <w:tcPr>
            <w:tcW w:w="402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штатной численности сотрудников МКУ «</w:t>
            </w: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Учреждение по обеспечению деятельности ОМСУ</w:t>
            </w: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», осуществляющих ведение бухгалтерского (бюджетного) учета и отчетности</w:t>
            </w:r>
          </w:p>
        </w:tc>
        <w:tc>
          <w:tcPr>
            <w:tcW w:w="1005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До 30.03.2023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кадровой и архивной работы</w:t>
            </w:r>
          </w:p>
        </w:tc>
      </w:tr>
      <w:tr w:rsidR="009649A5" w:rsidRPr="009649A5" w:rsidTr="00CB4AF3">
        <w:tc>
          <w:tcPr>
            <w:tcW w:w="402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сокращению штатной численности сотрудников, осуществляющих ведение бухгалтерского (бюджетного) учета и отчетности</w:t>
            </w:r>
          </w:p>
        </w:tc>
        <w:tc>
          <w:tcPr>
            <w:tcW w:w="1005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списки сотрудников</w:t>
            </w:r>
          </w:p>
        </w:tc>
        <w:tc>
          <w:tcPr>
            <w:tcW w:w="776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До 30.03.2023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кадровой и архивной работы, руководители учреждений, в которых сокращаются должности</w:t>
            </w:r>
          </w:p>
        </w:tc>
      </w:tr>
      <w:tr w:rsidR="009649A5" w:rsidRPr="009649A5" w:rsidTr="00CB4AF3">
        <w:tc>
          <w:tcPr>
            <w:tcW w:w="402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организационно-штатных мероприятий в отношении сотрудников обслуживаемых учреждений, должности которых сокращаются</w:t>
            </w:r>
          </w:p>
        </w:tc>
        <w:tc>
          <w:tcPr>
            <w:tcW w:w="1005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776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До 30.03.2023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Отдел кадровой и архивной работы, руководители учреждений, в которых сокращаются должности</w:t>
            </w:r>
          </w:p>
        </w:tc>
      </w:tr>
      <w:tr w:rsidR="009649A5" w:rsidRPr="009649A5" w:rsidTr="009649A5">
        <w:trPr>
          <w:trHeight w:val="646"/>
        </w:trPr>
        <w:tc>
          <w:tcPr>
            <w:tcW w:w="402" w:type="pct"/>
          </w:tcPr>
          <w:p w:rsidR="009649A5" w:rsidRPr="009649A5" w:rsidRDefault="009649A5" w:rsidP="00CB4AF3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598" w:type="pct"/>
            <w:gridSpan w:val="4"/>
          </w:tcPr>
          <w:p w:rsidR="009649A5" w:rsidRPr="009649A5" w:rsidRDefault="009649A5" w:rsidP="009649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9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обеспечению деятельности МКУ «Учреждение по обеспечению деятельности ОМСУ»</w:t>
            </w:r>
          </w:p>
        </w:tc>
      </w:tr>
      <w:tr w:rsidR="009649A5" w:rsidRPr="009649A5" w:rsidTr="00CB4AF3">
        <w:trPr>
          <w:trHeight w:val="64"/>
        </w:trPr>
        <w:tc>
          <w:tcPr>
            <w:tcW w:w="402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Устав МКУ «</w:t>
            </w: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Учреждение по обеспечению деятельности ОМСУ</w:t>
            </w: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pct"/>
            <w:shd w:val="clear" w:color="auto" w:fill="auto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проект Устава</w:t>
            </w:r>
          </w:p>
        </w:tc>
        <w:tc>
          <w:tcPr>
            <w:tcW w:w="776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До 15.05.2023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Учреждение по обеспечению деятельности ОМСУ</w:t>
            </w: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649A5" w:rsidRPr="009649A5" w:rsidTr="00CB4AF3">
        <w:trPr>
          <w:trHeight w:val="64"/>
        </w:trPr>
        <w:tc>
          <w:tcPr>
            <w:tcW w:w="402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858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изменений в Устав МКУ «</w:t>
            </w: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Учреждение по обеспечению деятельности ОМСУ</w:t>
            </w: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pct"/>
            <w:shd w:val="clear" w:color="auto" w:fill="auto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До 15.05.2023</w:t>
            </w:r>
          </w:p>
        </w:tc>
        <w:tc>
          <w:tcPr>
            <w:tcW w:w="959" w:type="pct"/>
          </w:tcPr>
          <w:p w:rsidR="009649A5" w:rsidRPr="009649A5" w:rsidRDefault="009649A5" w:rsidP="00CB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r w:rsidRPr="009649A5">
              <w:rPr>
                <w:rFonts w:ascii="Times New Roman" w:hAnsi="Times New Roman" w:cs="Times New Roman"/>
                <w:sz w:val="24"/>
                <w:szCs w:val="24"/>
              </w:rPr>
              <w:t>Учреждение по обеспечению деятельности ОМСУ</w:t>
            </w:r>
            <w:r w:rsidRPr="009649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9649A5" w:rsidRDefault="009649A5" w:rsidP="009649A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6CB2" w:rsidRDefault="009649A5" w:rsidP="009649A5">
      <w:pPr>
        <w:pStyle w:val="ConsPlusTitle"/>
        <w:jc w:val="center"/>
        <w:rPr>
          <w:sz w:val="22"/>
          <w:szCs w:val="22"/>
        </w:rPr>
      </w:pPr>
      <w:r w:rsidRPr="009360A5"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2D" w:rsidRDefault="00110E2D">
      <w:r>
        <w:separator/>
      </w:r>
    </w:p>
  </w:endnote>
  <w:endnote w:type="continuationSeparator" w:id="0">
    <w:p w:rsidR="00110E2D" w:rsidRDefault="001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2D" w:rsidRDefault="00110E2D">
      <w:r>
        <w:separator/>
      </w:r>
    </w:p>
  </w:footnote>
  <w:footnote w:type="continuationSeparator" w:id="0">
    <w:p w:rsidR="00110E2D" w:rsidRDefault="0011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EE22D4C"/>
    <w:multiLevelType w:val="hybridMultilevel"/>
    <w:tmpl w:val="AE769974"/>
    <w:lvl w:ilvl="0" w:tplc="3428673A">
      <w:start w:val="1"/>
      <w:numFmt w:val="decimal"/>
      <w:lvlText w:val="%1."/>
      <w:lvlJc w:val="left"/>
      <w:pPr>
        <w:ind w:left="170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7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0E2D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042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49A5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1EE4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A64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59"/>
    <w:rsid w:val="009649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89B2-2C66-40B2-98E1-B6F18754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2023-03-09T10:56:00Z</cp:lastPrinted>
  <dcterms:created xsi:type="dcterms:W3CDTF">2023-03-09T10:57:00Z</dcterms:created>
  <dcterms:modified xsi:type="dcterms:W3CDTF">2023-03-09T10:57:00Z</dcterms:modified>
</cp:coreProperties>
</file>