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0EAA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B0EAA">
        <w:rPr>
          <w:sz w:val="26"/>
          <w:szCs w:val="26"/>
          <w:u w:val="single"/>
        </w:rPr>
        <w:t>97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B0EAA" w:rsidRPr="005B6214" w:rsidRDefault="008B0EAA" w:rsidP="008B0EAA">
      <w:pPr>
        <w:jc w:val="center"/>
        <w:rPr>
          <w:b/>
          <w:sz w:val="26"/>
          <w:szCs w:val="26"/>
        </w:rPr>
      </w:pPr>
      <w:bookmarkStart w:id="0" w:name="_GoBack"/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</w:t>
      </w:r>
      <w:r>
        <w:rPr>
          <w:b/>
          <w:sz w:val="26"/>
          <w:szCs w:val="26"/>
        </w:rPr>
        <w:t>23</w:t>
      </w:r>
      <w:r w:rsidRPr="005B6214">
        <w:rPr>
          <w:b/>
          <w:sz w:val="26"/>
          <w:szCs w:val="26"/>
        </w:rPr>
        <w:t>.10.2017 № 1297 «Об утверждении муниципальной программы «Развитие предпринимательства в городском 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bookmarkEnd w:id="0"/>
    <w:p w:rsidR="008B0EAA" w:rsidRDefault="008B0EAA" w:rsidP="008B0EAA">
      <w:pPr>
        <w:jc w:val="center"/>
        <w:rPr>
          <w:sz w:val="26"/>
          <w:szCs w:val="26"/>
        </w:rPr>
      </w:pPr>
    </w:p>
    <w:p w:rsidR="008B0EAA" w:rsidRPr="005B6214" w:rsidRDefault="008B0EAA" w:rsidP="008B0EAA">
      <w:pPr>
        <w:jc w:val="center"/>
        <w:rPr>
          <w:sz w:val="26"/>
          <w:szCs w:val="26"/>
        </w:rPr>
      </w:pPr>
    </w:p>
    <w:p w:rsidR="008B0EAA" w:rsidRPr="005B6214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29 декабря 2022 года № 10-1 «О внесении изменений в решение Совета депутатов городского округа город Шахунья Нижегородской области от 24 декабря 2021года № 70 - 1 «О бюджете городского округа город Шахунья на 2022 год и на плановый период 2023 и 2024 годов», администрация городского округа город Шахунья 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</w:t>
      </w:r>
      <w:r w:rsidRPr="005B6214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изменениями, внесенными постановлениями от </w:t>
      </w:r>
      <w:r w:rsidRPr="00B61156">
        <w:rPr>
          <w:sz w:val="26"/>
          <w:szCs w:val="26"/>
        </w:rPr>
        <w:t>05.03.2022 № 194</w:t>
      </w:r>
      <w:r>
        <w:rPr>
          <w:sz w:val="26"/>
          <w:szCs w:val="26"/>
        </w:rPr>
        <w:t>, от 16.11.2022 № 1309, от 28.11.2022 № 1362) внести изменения, изложив</w:t>
      </w:r>
      <w:r w:rsidRPr="005B6214">
        <w:rPr>
          <w:sz w:val="26"/>
          <w:szCs w:val="26"/>
        </w:rPr>
        <w:t xml:space="preserve"> муниципальную программу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5B6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2022-2024 годы </w:t>
      </w:r>
      <w:r w:rsidRPr="005B6214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>- Программа) в новой редакции</w:t>
      </w:r>
      <w:proofErr w:type="gramEnd"/>
      <w:r w:rsidRPr="005B6214">
        <w:rPr>
          <w:sz w:val="26"/>
          <w:szCs w:val="26"/>
        </w:rPr>
        <w:t>, согласно приложению к настоящему постановлению.</w:t>
      </w:r>
    </w:p>
    <w:p w:rsidR="008B0EAA" w:rsidRPr="005B6214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5B6214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постановления на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 и в газете «Знамя труда».</w:t>
      </w:r>
    </w:p>
    <w:p w:rsidR="008B0EAA" w:rsidRPr="005B6214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lastRenderedPageBreak/>
        <w:t>3. Настоящее пос</w:t>
      </w:r>
      <w:r>
        <w:rPr>
          <w:sz w:val="26"/>
          <w:szCs w:val="26"/>
        </w:rPr>
        <w:t>тановление вступает в силу со дня</w:t>
      </w:r>
      <w:r w:rsidRPr="005B621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опубликования</w:t>
      </w:r>
      <w:r w:rsidRPr="00D36F72"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 и в газете «Знамя труда», распространяет свое действие на правоотношения, возникшие с 1 января 2022 года. </w:t>
      </w:r>
    </w:p>
    <w:p w:rsidR="00845310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утратившими силу </w:t>
      </w:r>
      <w:r w:rsidRPr="005B6214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B6214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:rsidR="008B0EAA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B6214">
        <w:rPr>
          <w:sz w:val="26"/>
          <w:szCs w:val="26"/>
        </w:rPr>
        <w:t xml:space="preserve">от </w:t>
      </w:r>
      <w:r w:rsidRPr="00B61156">
        <w:rPr>
          <w:sz w:val="26"/>
          <w:szCs w:val="26"/>
        </w:rPr>
        <w:t>05.03.2022 № 194</w:t>
      </w:r>
      <w:r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;</w:t>
      </w:r>
    </w:p>
    <w:p w:rsidR="008B0EAA" w:rsidRDefault="008B0EAA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16.11.2022 № 1309 </w:t>
      </w:r>
      <w:r w:rsidRPr="005B6214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;</w:t>
      </w:r>
    </w:p>
    <w:p w:rsidR="008B0EAA" w:rsidRPr="005B6214" w:rsidRDefault="00845310" w:rsidP="008B0EA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B0EAA">
        <w:rPr>
          <w:sz w:val="26"/>
          <w:szCs w:val="26"/>
        </w:rPr>
        <w:t xml:space="preserve"> от 28.11.2022 № 1362</w:t>
      </w:r>
      <w:r w:rsidR="008B0EAA" w:rsidRPr="005B6214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 w:rsidR="008B0EAA">
        <w:rPr>
          <w:sz w:val="26"/>
          <w:szCs w:val="26"/>
        </w:rPr>
        <w:t>.</w:t>
      </w:r>
    </w:p>
    <w:p w:rsidR="008B0EAA" w:rsidRPr="00092536" w:rsidRDefault="008B0EAA" w:rsidP="008B0EAA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B0EAA" w:rsidRDefault="008B0EAA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8B0EAA" w:rsidRDefault="008B0E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5B6214">
        <w:rPr>
          <w:rFonts w:eastAsia="Calibri"/>
          <w:sz w:val="26"/>
          <w:szCs w:val="26"/>
          <w:lang w:eastAsia="en-US"/>
        </w:rPr>
        <w:t>город Шахунья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02.02.2023 г. № 97</w:t>
      </w:r>
    </w:p>
    <w:p w:rsidR="008B0EAA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8B0EAA" w:rsidRPr="005B6214" w:rsidRDefault="008B0EAA" w:rsidP="008B0EA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8B0EAA" w:rsidRPr="005B6214" w:rsidRDefault="008B0EAA" w:rsidP="008B0EAA">
      <w:pPr>
        <w:pStyle w:val="aff"/>
        <w:rPr>
          <w:b/>
          <w:sz w:val="26"/>
          <w:szCs w:val="26"/>
        </w:rPr>
      </w:pPr>
    </w:p>
    <w:p w:rsidR="008B0EAA" w:rsidRPr="005B6214" w:rsidRDefault="008B0EAA" w:rsidP="008B0EA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8B0EAA" w:rsidRPr="005B6214" w:rsidRDefault="008B0EAA" w:rsidP="008B0EA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8B0EAA" w:rsidRPr="005B6214" w:rsidRDefault="008B0EAA" w:rsidP="008B0EA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8B0EAA" w:rsidRPr="005B6214" w:rsidRDefault="008B0EAA" w:rsidP="008B0EAA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96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7"/>
        <w:gridCol w:w="476"/>
        <w:gridCol w:w="2075"/>
        <w:gridCol w:w="992"/>
        <w:gridCol w:w="1652"/>
        <w:gridCol w:w="30"/>
        <w:gridCol w:w="18"/>
        <w:gridCol w:w="1845"/>
      </w:tblGrid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Подпрограммы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Цели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tabs>
                <w:tab w:val="left" w:pos="234"/>
              </w:tabs>
              <w:spacing w:line="300" w:lineRule="auto"/>
              <w:contextualSpacing/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8B0EAA" w:rsidRPr="005B6214" w:rsidRDefault="008B0EAA" w:rsidP="00766378">
            <w:pPr>
              <w:spacing w:line="300" w:lineRule="auto"/>
              <w:contextualSpacing/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8B0EAA" w:rsidRPr="005B6214" w:rsidRDefault="008B0EAA" w:rsidP="00766378">
            <w:pPr>
              <w:spacing w:line="300" w:lineRule="auto"/>
              <w:contextualSpacing/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Задачи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8B0EAA" w:rsidRPr="005B6214" w:rsidRDefault="008B0EAA" w:rsidP="00766378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-формирование положительного имиджа малого и среднего </w:t>
            </w:r>
            <w:r w:rsidRPr="005B6214">
              <w:lastRenderedPageBreak/>
              <w:t>предпринимательства;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доступа субъектов малого и среднего предпринимательства к финансово-кредитным ресурсам;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организационной поддержки субъектов малого и среднего предпринимат</w:t>
            </w:r>
            <w:r>
              <w:t xml:space="preserve">ельства (организация </w:t>
            </w:r>
            <w:proofErr w:type="spellStart"/>
            <w:r>
              <w:t>выставочно</w:t>
            </w:r>
            <w:proofErr w:type="spellEnd"/>
            <w:r w:rsidRPr="005B6214">
              <w:t>-ярмарочной деятельности субъектов малого и среднего предпринимательства);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426C6B">
              <w:t>20</w:t>
            </w:r>
            <w:r>
              <w:t>22- 2024</w:t>
            </w:r>
            <w:r w:rsidRPr="005B6214">
              <w:t xml:space="preserve"> годы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Программа реализуется в один этап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Объемы бюджетных ассигно</w:t>
            </w:r>
            <w:r>
              <w:t>ваний программы за счет средств</w:t>
            </w:r>
            <w:r w:rsidRPr="005B6214">
              <w:t xml:space="preserve"> бюджета городского округа город Шахунья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cantSplit/>
          <w:trHeight w:val="102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4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Всего за период реализации программы</w:t>
            </w:r>
          </w:p>
        </w:tc>
      </w:tr>
      <w:tr w:rsidR="008B0EAA" w:rsidRPr="00B61156" w:rsidTr="00766378">
        <w:trPr>
          <w:cantSplit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B61156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03281">
              <w:t>2 24</w:t>
            </w:r>
            <w:r>
              <w:t>4</w:t>
            </w:r>
            <w:r w:rsidRPr="00503281">
              <w:t>,</w:t>
            </w:r>
            <w:r>
              <w:t>78391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B61156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100,00000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B61156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100,00000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B61156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03281">
              <w:t>2 44</w:t>
            </w:r>
            <w:r>
              <w:t>4,78391</w:t>
            </w:r>
          </w:p>
          <w:p w:rsidR="008B0EAA" w:rsidRPr="00B61156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cantSplit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cantSplit/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</w:tr>
      <w:tr w:rsidR="008B0EAA" w:rsidRPr="005B6214" w:rsidTr="00766378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8B0EAA" w:rsidRPr="00F91A88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</w:rPr>
            </w:pPr>
            <w:r w:rsidRPr="00F91A88">
              <w:rPr>
                <w:b/>
              </w:rPr>
              <w:t>Индикаторы достижения цели и показатели непосредственных результатов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8B0EAA" w:rsidRPr="005B6214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 изм.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4</w:t>
            </w:r>
            <w:r w:rsidRPr="005B6214">
              <w:t xml:space="preserve"> год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Количество субъектов малого предпринимательства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855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предприятиями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млн.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1380,7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2,1</w:t>
            </w:r>
          </w:p>
        </w:tc>
      </w:tr>
      <w:tr w:rsidR="008B0EAA" w:rsidRPr="005B6214" w:rsidTr="00766378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1650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20</w:t>
            </w:r>
          </w:p>
        </w:tc>
      </w:tr>
      <w:tr w:rsidR="008B0EAA" w:rsidRPr="00F91A88" w:rsidTr="00766378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spacing w:line="300" w:lineRule="auto"/>
              <w:contextualSpacing/>
              <w:jc w:val="both"/>
            </w:pPr>
            <w:r w:rsidRPr="005B6214">
              <w:t>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F91A88" w:rsidRDefault="008B0EAA" w:rsidP="00766378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62066F">
              <w:t>16844,03</w:t>
            </w:r>
          </w:p>
        </w:tc>
      </w:tr>
    </w:tbl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B0EAA" w:rsidRPr="005B6214" w:rsidRDefault="008B0EAA" w:rsidP="008B0EAA">
      <w:pPr>
        <w:pStyle w:val="aff"/>
        <w:jc w:val="both"/>
        <w:rPr>
          <w:sz w:val="22"/>
          <w:szCs w:val="22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B0EAA" w:rsidRPr="00364CC8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</w:t>
      </w:r>
      <w:r w:rsidRPr="005B6214">
        <w:lastRenderedPageBreak/>
        <w:t>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</w:t>
      </w:r>
      <w:r>
        <w:t>2 - 2024</w:t>
      </w:r>
      <w:r w:rsidRPr="005B6214">
        <w:t xml:space="preserve"> годах.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8B0EAA" w:rsidRPr="00CF44B1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</w:t>
      </w:r>
      <w:r w:rsidRPr="00CF44B1">
        <w:t>от 15 октября 2014 года  № 1061.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</w:t>
      </w:r>
      <w:r>
        <w:t>2</w:t>
      </w:r>
      <w:r w:rsidRPr="005B6214">
        <w:t xml:space="preserve"> года в округе насчитывалось порядка </w:t>
      </w:r>
      <w:r>
        <w:t>846</w:t>
      </w:r>
      <w:r w:rsidRPr="005B6214">
        <w:t xml:space="preserve">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</w:t>
      </w:r>
      <w:r>
        <w:t>21 года составил 1106,4</w:t>
      </w:r>
      <w:r w:rsidRPr="0062066F">
        <w:t xml:space="preserve"> </w:t>
      </w:r>
      <w:r w:rsidRPr="005B6214">
        <w:t>млн. рублей</w:t>
      </w:r>
      <w:r w:rsidRPr="00BB7516">
        <w:t>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Величина средней заработной платы у работающих на малых и средних предприятиях района за 20</w:t>
      </w:r>
      <w:r>
        <w:t>21</w:t>
      </w:r>
      <w:r w:rsidRPr="005B6214">
        <w:t xml:space="preserve"> год составила  – </w:t>
      </w:r>
      <w:r w:rsidRPr="0062066F">
        <w:t>1387</w:t>
      </w:r>
      <w:r>
        <w:t>8,8</w:t>
      </w:r>
      <w:r w:rsidRPr="0062066F">
        <w:t xml:space="preserve"> </w:t>
      </w:r>
      <w:r w:rsidRPr="005B6214">
        <w:t xml:space="preserve">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Оказание мер муниципальной поддержки малому предпринимательству осуществляется в </w:t>
      </w:r>
      <w:r w:rsidRPr="005B6214">
        <w:lastRenderedPageBreak/>
        <w:t>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5B6214">
        <w:t>Шахунский</w:t>
      </w:r>
      <w:proofErr w:type="spellEnd"/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</w:t>
      </w:r>
      <w:r>
        <w:t>№</w:t>
      </w:r>
      <w:r w:rsidRPr="005B6214">
        <w:t xml:space="preserve">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</w:t>
      </w:r>
      <w:r>
        <w:t>№</w:t>
      </w:r>
      <w:r w:rsidRPr="005B6214">
        <w:t xml:space="preserve">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r>
        <w:t>»</w:t>
      </w:r>
      <w:r w:rsidRPr="005B6214">
        <w:t>, Программой предусматривается</w:t>
      </w:r>
      <w:proofErr w:type="gramEnd"/>
      <w:r w:rsidRPr="005B6214">
        <w:t xml:space="preserve"> широкий спектр мероприятий, реализуемых по следующим направлениям: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8B0EAA" w:rsidRPr="005B6214" w:rsidRDefault="008B0EAA" w:rsidP="008B0EAA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поддержка в области подготовки, переподготовки и повышения квалификации работников субъектов малого и среднего предпринимательства;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поддержку субъектов малого и среднего предпринимательства, осуществляющих внешнеэкономическую деятельность;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</w:t>
      </w:r>
      <w:r w:rsidRPr="005B6214">
        <w:lastRenderedPageBreak/>
        <w:t>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</w:t>
      </w:r>
      <w:r>
        <w:t>4</w:t>
      </w:r>
      <w:r w:rsidRPr="005B6214">
        <w:t xml:space="preserve"> года будут: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</w:t>
      </w:r>
      <w:r>
        <w:t>4</w:t>
      </w:r>
      <w:r w:rsidRPr="005B6214">
        <w:t xml:space="preserve"> году;</w:t>
      </w:r>
    </w:p>
    <w:p w:rsidR="008B0EAA" w:rsidRPr="005B6214" w:rsidRDefault="008B0EAA" w:rsidP="008B0EAA">
      <w:pPr>
        <w:pStyle w:val="a3"/>
        <w:ind w:left="0" w:firstLine="540"/>
        <w:rPr>
          <w:color w:val="FF0000"/>
        </w:rPr>
      </w:pPr>
      <w:r w:rsidRPr="005B6214">
        <w:t xml:space="preserve">- </w:t>
      </w:r>
      <w:r w:rsidRPr="00BB7516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</w:t>
      </w:r>
      <w:r>
        <w:rPr>
          <w:b w:val="0"/>
          <w:sz w:val="24"/>
          <w:szCs w:val="24"/>
        </w:rPr>
        <w:t>4</w:t>
      </w:r>
      <w:r w:rsidRPr="00BB7516">
        <w:rPr>
          <w:b w:val="0"/>
          <w:sz w:val="24"/>
          <w:szCs w:val="24"/>
        </w:rPr>
        <w:t xml:space="preserve"> году.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5B6214">
        <w:t xml:space="preserve">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Pr="00364CC8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lastRenderedPageBreak/>
        <w:t>2.3. Сроки и этапы реализации муниципальной программы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</w:t>
      </w:r>
      <w:r>
        <w:t>2</w:t>
      </w:r>
      <w:r w:rsidRPr="005B6214">
        <w:t xml:space="preserve"> - 202</w:t>
      </w:r>
      <w:r>
        <w:t>4</w:t>
      </w:r>
      <w:r w:rsidRPr="005B6214">
        <w:t xml:space="preserve"> годы.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Информация об основных мероприятиях Программы отражена в таблице 1.</w:t>
      </w:r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Т</w:t>
      </w:r>
      <w:r>
        <w:rPr>
          <w:rFonts w:eastAsia="Calibri"/>
          <w:sz w:val="26"/>
          <w:szCs w:val="26"/>
          <w:lang w:eastAsia="en-US"/>
        </w:rPr>
        <w:t>аблица 1. 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92"/>
        <w:gridCol w:w="1240"/>
        <w:gridCol w:w="727"/>
        <w:gridCol w:w="1150"/>
        <w:gridCol w:w="286"/>
        <w:gridCol w:w="1150"/>
        <w:gridCol w:w="1292"/>
        <w:gridCol w:w="1438"/>
        <w:gridCol w:w="1150"/>
        <w:gridCol w:w="1257"/>
      </w:tblGrid>
      <w:tr w:rsidR="008B0EAA" w:rsidRPr="00557B63" w:rsidTr="00766378">
        <w:trPr>
          <w:cantSplit/>
          <w:trHeight w:val="1031"/>
        </w:trPr>
        <w:tc>
          <w:tcPr>
            <w:tcW w:w="350" w:type="pct"/>
            <w:gridSpan w:val="2"/>
            <w:vMerge w:val="restar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№</w:t>
            </w:r>
          </w:p>
        </w:tc>
        <w:tc>
          <w:tcPr>
            <w:tcW w:w="595" w:type="pct"/>
            <w:vMerge w:val="restar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9" w:type="pct"/>
            <w:vMerge w:val="restar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Категория расходов (капвложения, НИОКР и прочие расходы)</w:t>
            </w:r>
          </w:p>
        </w:tc>
        <w:tc>
          <w:tcPr>
            <w:tcW w:w="552" w:type="pct"/>
            <w:vMerge w:val="restar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689" w:type="pct"/>
            <w:gridSpan w:val="2"/>
            <w:vMerge w:val="restar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2465" w:type="pct"/>
            <w:gridSpan w:val="4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Объем финансирования (по годам) за счет средств местного бюджета (тыс. рублей)</w:t>
            </w:r>
          </w:p>
        </w:tc>
      </w:tr>
      <w:tr w:rsidR="008B0EAA" w:rsidRPr="00557B63" w:rsidTr="00766378">
        <w:trPr>
          <w:cantSplit/>
          <w:trHeight w:val="1613"/>
        </w:trPr>
        <w:tc>
          <w:tcPr>
            <w:tcW w:w="350" w:type="pct"/>
            <w:gridSpan w:val="2"/>
            <w:vMerge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2023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2024</w:t>
            </w: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Всего </w:t>
            </w:r>
          </w:p>
        </w:tc>
      </w:tr>
      <w:tr w:rsidR="008B0EAA" w:rsidRPr="00C428BD" w:rsidTr="00766378">
        <w:trPr>
          <w:cantSplit/>
          <w:trHeight w:val="1241"/>
        </w:trPr>
        <w:tc>
          <w:tcPr>
            <w:tcW w:w="2535" w:type="pct"/>
            <w:gridSpan w:val="7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620" w:type="pct"/>
          </w:tcPr>
          <w:p w:rsidR="008B0EAA" w:rsidRPr="00A36148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2 24</w:t>
            </w:r>
            <w:r>
              <w:rPr>
                <w:sz w:val="20"/>
                <w:szCs w:val="20"/>
              </w:rPr>
              <w:t>4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78391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100,00000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100,00000</w:t>
            </w:r>
          </w:p>
        </w:tc>
        <w:tc>
          <w:tcPr>
            <w:tcW w:w="603" w:type="pct"/>
          </w:tcPr>
          <w:p w:rsidR="008B0EAA" w:rsidRPr="00C428BD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5"/>
              <w:jc w:val="center"/>
              <w:rPr>
                <w:color w:val="FF0000"/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2 44</w:t>
            </w:r>
            <w:r>
              <w:rPr>
                <w:sz w:val="20"/>
                <w:szCs w:val="20"/>
              </w:rPr>
              <w:t>4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78391</w:t>
            </w:r>
          </w:p>
        </w:tc>
      </w:tr>
      <w:tr w:rsidR="008B0EAA" w:rsidRPr="00557B63" w:rsidTr="00766378">
        <w:tc>
          <w:tcPr>
            <w:tcW w:w="210" w:type="pct"/>
            <w:tcBorders>
              <w:bottom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325" w:type="pct"/>
            <w:gridSpan w:val="6"/>
            <w:tcBorders>
              <w:bottom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1.1</w:t>
            </w:r>
          </w:p>
        </w:tc>
        <w:tc>
          <w:tcPr>
            <w:tcW w:w="735" w:type="pct"/>
            <w:gridSpan w:val="2"/>
            <w:tcBorders>
              <w:top w:val="nil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</w:t>
            </w:r>
            <w:r w:rsidRPr="00557B63">
              <w:rPr>
                <w:sz w:val="20"/>
                <w:szCs w:val="20"/>
              </w:rPr>
              <w:lastRenderedPageBreak/>
              <w:t>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Информирование и разъяснение субъектам МСП нормативно-правовых актов в сфере предпринимательской деятельности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1.4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  <w:r w:rsidRPr="00557B63">
              <w:rPr>
                <w:b/>
                <w:sz w:val="20"/>
                <w:szCs w:val="20"/>
              </w:rPr>
              <w:t>Устранение излишних административных барьеров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</w:t>
            </w:r>
            <w:r w:rsidRPr="00557B63">
              <w:rPr>
                <w:sz w:val="20"/>
                <w:szCs w:val="20"/>
              </w:rPr>
              <w:lastRenderedPageBreak/>
              <w:t>онной политики и муниципального имущества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57B63">
              <w:rPr>
                <w:sz w:val="20"/>
                <w:szCs w:val="20"/>
              </w:rPr>
              <w:t xml:space="preserve">, установок, транспортных средств, инвентаря, инструментов, на возмездной </w:t>
            </w:r>
            <w:r w:rsidRPr="00557B63">
              <w:rPr>
                <w:sz w:val="20"/>
                <w:szCs w:val="20"/>
              </w:rPr>
              <w:lastRenderedPageBreak/>
              <w:t>основе, безвозмездной основе или на льготных условиях в соответствии с действующим законодательством.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rPr>
          <w:trHeight w:val="1027"/>
        </w:trPr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57B63">
              <w:rPr>
                <w:sz w:val="20"/>
                <w:szCs w:val="20"/>
              </w:rPr>
              <w:br/>
              <w:t>участие в  областных конкурсах "Женщина-лидер.</w:t>
            </w:r>
            <w:proofErr w:type="gramEnd"/>
            <w:r w:rsidRPr="00557B63">
              <w:rPr>
                <w:sz w:val="20"/>
                <w:szCs w:val="20"/>
              </w:rPr>
              <w:t xml:space="preserve">     </w:t>
            </w:r>
            <w:proofErr w:type="gramStart"/>
            <w:r w:rsidRPr="00557B63">
              <w:rPr>
                <w:sz w:val="20"/>
                <w:szCs w:val="20"/>
              </w:rPr>
              <w:t>XXI век",</w:t>
            </w:r>
            <w:r w:rsidRPr="00557B63">
              <w:rPr>
                <w:sz w:val="20"/>
                <w:szCs w:val="20"/>
              </w:rPr>
              <w:br/>
              <w:t>"Нижегородск</w:t>
            </w:r>
            <w:r w:rsidRPr="00557B63">
              <w:rPr>
                <w:sz w:val="20"/>
                <w:szCs w:val="20"/>
              </w:rPr>
              <w:lastRenderedPageBreak/>
              <w:t>ие мастера"</w:t>
            </w:r>
            <w:r w:rsidRPr="00557B63">
              <w:rPr>
                <w:sz w:val="20"/>
                <w:szCs w:val="20"/>
              </w:rPr>
              <w:br/>
              <w:t>(в сфере  общественного</w:t>
            </w:r>
            <w:r w:rsidRPr="00557B63">
              <w:rPr>
                <w:sz w:val="20"/>
                <w:szCs w:val="20"/>
              </w:rPr>
              <w:br/>
              <w:t xml:space="preserve">питания   и    БОН),    </w:t>
            </w:r>
            <w:r w:rsidRPr="00557B63">
              <w:rPr>
                <w:sz w:val="20"/>
                <w:szCs w:val="20"/>
              </w:rPr>
              <w:br/>
              <w:t>празднование Дня</w:t>
            </w:r>
            <w:r w:rsidRPr="00557B63">
              <w:rPr>
                <w:sz w:val="20"/>
                <w:szCs w:val="20"/>
              </w:rPr>
              <w:br/>
              <w:t xml:space="preserve">Российского            </w:t>
            </w:r>
            <w:r w:rsidRPr="00557B63">
              <w:rPr>
                <w:sz w:val="20"/>
                <w:szCs w:val="20"/>
              </w:rPr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предпринимательства, СМИ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342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и оказание юридической помощи субъектам МСП по следующим направлениям: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- предоставление  юридической помощи по вопросам гражданского, трудового, финансового, налогового, бюджетного, административного и иного </w:t>
            </w:r>
            <w:r w:rsidRPr="00557B63">
              <w:rPr>
                <w:sz w:val="20"/>
                <w:szCs w:val="20"/>
              </w:rPr>
              <w:lastRenderedPageBreak/>
              <w:t>законодательства в области регулирования предпринимательской деятельности;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57B63">
              <w:rPr>
                <w:sz w:val="20"/>
                <w:szCs w:val="20"/>
              </w:rPr>
              <w:t>т.ч</w:t>
            </w:r>
            <w:proofErr w:type="spellEnd"/>
            <w:r w:rsidRPr="00557B63">
              <w:rPr>
                <w:sz w:val="20"/>
                <w:szCs w:val="20"/>
              </w:rPr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rPr>
          <w:trHeight w:val="1994"/>
        </w:trPr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57B63">
              <w:rPr>
                <w:sz w:val="20"/>
                <w:szCs w:val="20"/>
              </w:rPr>
              <w:t>аутсорсинговых</w:t>
            </w:r>
            <w:proofErr w:type="spellEnd"/>
            <w:r w:rsidRPr="00557B63"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9950</w:t>
            </w:r>
            <w:r w:rsidRPr="00557B63"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9950</w:t>
            </w:r>
            <w:r w:rsidRPr="00557B63">
              <w:rPr>
                <w:sz w:val="20"/>
                <w:szCs w:val="20"/>
              </w:rPr>
              <w:t>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администрация городского округа город Шахунья Нижегородской </w:t>
            </w:r>
            <w:r w:rsidRPr="00557B63">
              <w:rPr>
                <w:sz w:val="20"/>
                <w:szCs w:val="20"/>
              </w:rPr>
              <w:lastRenderedPageBreak/>
              <w:t>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работы автономной некоммерческой организации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spacing w:line="18" w:lineRule="atLeast"/>
              <w:jc w:val="both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Pr="00503281">
              <w:rPr>
                <w:sz w:val="20"/>
                <w:szCs w:val="20"/>
              </w:rPr>
              <w:t>,54600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Pr="00503281">
              <w:rPr>
                <w:sz w:val="20"/>
                <w:szCs w:val="20"/>
              </w:rPr>
              <w:t>,54600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5.4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Обеспечение  организационной и информационной поддержки субъектов МСП по участию их в выставках, ярмарках, форумах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5.5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 по подготовке  кадров для малого и среднего предпринимательства</w:t>
            </w:r>
          </w:p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</w:t>
            </w:r>
            <w:r w:rsidRPr="00557B63">
              <w:rPr>
                <w:sz w:val="20"/>
                <w:szCs w:val="20"/>
              </w:rPr>
              <w:lastRenderedPageBreak/>
              <w:t>бизнеса» и ГБПОУ "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колледж аграрной индустрии"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Анализ деятельности инфраструктуры поддержки субъектов МСП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5.7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503281">
              <w:rPr>
                <w:sz w:val="20"/>
                <w:szCs w:val="20"/>
              </w:rPr>
              <w:t>0000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503281">
              <w:rPr>
                <w:sz w:val="20"/>
                <w:szCs w:val="20"/>
              </w:rPr>
              <w:t>0000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5.8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proofErr w:type="gramStart"/>
            <w:r w:rsidRPr="00557B63">
              <w:rPr>
                <w:rFonts w:eastAsia="Calibri"/>
                <w:sz w:val="20"/>
                <w:szCs w:val="20"/>
              </w:rPr>
              <w:t>Финансирование АНО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сотрудников, на канцелярские принадлежности, расходов на техническое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>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spacing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  <w:r w:rsidRPr="00503281">
              <w:rPr>
                <w:sz w:val="20"/>
                <w:szCs w:val="20"/>
              </w:rPr>
              <w:t>4900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503281">
              <w:rPr>
                <w:sz w:val="20"/>
                <w:szCs w:val="20"/>
              </w:rPr>
              <w:t>4900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78391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1 059,78391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6.1</w:t>
            </w:r>
          </w:p>
        </w:tc>
        <w:tc>
          <w:tcPr>
            <w:tcW w:w="735" w:type="pct"/>
            <w:gridSpan w:val="2"/>
          </w:tcPr>
          <w:p w:rsidR="008B0EAA" w:rsidRPr="0069011B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69011B">
              <w:rPr>
                <w:sz w:val="20"/>
                <w:szCs w:val="20"/>
              </w:rPr>
              <w:t>Финансовое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8B0EAA" w:rsidRPr="00503281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78391</w:t>
            </w: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230C8A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5032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78391</w:t>
            </w:r>
          </w:p>
        </w:tc>
      </w:tr>
      <w:tr w:rsidR="008B0EAA" w:rsidRPr="00557B63" w:rsidTr="0076637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57B63">
              <w:rPr>
                <w:sz w:val="20"/>
                <w:szCs w:val="20"/>
              </w:rPr>
              <w:t>с-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  <w:proofErr w:type="spellStart"/>
            <w:r w:rsidRPr="00557B63">
              <w:rPr>
                <w:sz w:val="20"/>
                <w:szCs w:val="20"/>
              </w:rPr>
              <w:t>квеста</w:t>
            </w:r>
            <w:proofErr w:type="spellEnd"/>
            <w:r w:rsidRPr="00557B63">
              <w:rPr>
                <w:sz w:val="20"/>
                <w:szCs w:val="20"/>
              </w:rPr>
              <w:t>, «Школа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молодого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предпринимателя»,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«Мандарины бизнеса» </w:t>
            </w:r>
            <w:proofErr w:type="gramStart"/>
            <w:r w:rsidRPr="00557B63">
              <w:rPr>
                <w:sz w:val="20"/>
                <w:szCs w:val="20"/>
              </w:rPr>
              <w:t>для</w:t>
            </w:r>
            <w:proofErr w:type="gramEnd"/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старшеклассников школ и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учащихся ГБПОУ "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колледж аграрной индустрии")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7B63">
              <w:rPr>
                <w:sz w:val="20"/>
                <w:szCs w:val="20"/>
              </w:rPr>
              <w:t>0,00000</w:t>
            </w: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</w:t>
            </w:r>
            <w:r w:rsidRPr="00557B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 xml:space="preserve">Оказание </w:t>
            </w:r>
            <w:r w:rsidRPr="00557B63">
              <w:rPr>
                <w:sz w:val="20"/>
                <w:szCs w:val="20"/>
              </w:rPr>
              <w:lastRenderedPageBreak/>
              <w:t>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</w:t>
            </w:r>
            <w:r w:rsidRPr="00557B63">
              <w:rPr>
                <w:sz w:val="20"/>
                <w:szCs w:val="20"/>
              </w:rPr>
              <w:lastRenderedPageBreak/>
              <w:t xml:space="preserve">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rPr>
          <w:trHeight w:val="4213"/>
        </w:trPr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предпринимательства в инновационной сфере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8B0EAA" w:rsidRPr="00557B63" w:rsidRDefault="008B0EAA" w:rsidP="00766378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информационн</w:t>
            </w:r>
            <w:r w:rsidRPr="00557B63">
              <w:rPr>
                <w:sz w:val="20"/>
                <w:szCs w:val="20"/>
              </w:rPr>
              <w:lastRenderedPageBreak/>
              <w:t xml:space="preserve">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57B63">
              <w:rPr>
                <w:sz w:val="20"/>
                <w:szCs w:val="20"/>
              </w:rPr>
              <w:t>палаты</w:t>
            </w:r>
            <w:proofErr w:type="gramEnd"/>
            <w:r w:rsidRPr="00557B63">
              <w:rPr>
                <w:sz w:val="20"/>
                <w:szCs w:val="20"/>
              </w:rPr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 xml:space="preserve">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Дистанционное консультирование предпринимателей.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8.4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Ведение Реестра субъектов малого и </w:t>
            </w:r>
            <w:r w:rsidRPr="00557B63">
              <w:rPr>
                <w:sz w:val="20"/>
                <w:szCs w:val="20"/>
              </w:rPr>
              <w:lastRenderedPageBreak/>
              <w:t>среднего предпринимательства – получателей поддержки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 xml:space="preserve">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pct"/>
            <w:gridSpan w:val="6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Информирование населения в средствах 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B0EAA" w:rsidRPr="00557B63" w:rsidTr="00766378">
        <w:tc>
          <w:tcPr>
            <w:tcW w:w="21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35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349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62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8B0EAA" w:rsidRPr="00557B63" w:rsidRDefault="008B0EAA" w:rsidP="0076637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B0EAA" w:rsidRPr="005B6214" w:rsidRDefault="008B0EAA" w:rsidP="008B0EA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B0EAA" w:rsidRPr="00364CC8" w:rsidRDefault="008B0EAA" w:rsidP="008B0E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5B6214">
        <w:rPr>
          <w:b/>
          <w:bCs/>
        </w:rPr>
        <w:t>2.5. Индикаторы достижения цели и непосредственные результаты реализации муниципальной программы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</w:t>
      </w:r>
      <w:r w:rsidRPr="005B6214">
        <w:lastRenderedPageBreak/>
        <w:t>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8B0EAA" w:rsidRPr="00364CC8" w:rsidRDefault="008B0EAA" w:rsidP="008B0EAA">
      <w:pPr>
        <w:widowControl w:val="0"/>
        <w:tabs>
          <w:tab w:val="left" w:pos="5103"/>
        </w:tabs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"/>
        <w:gridCol w:w="709"/>
        <w:gridCol w:w="1134"/>
        <w:gridCol w:w="1134"/>
        <w:gridCol w:w="1134"/>
        <w:gridCol w:w="1134"/>
        <w:gridCol w:w="1133"/>
        <w:gridCol w:w="6076"/>
        <w:gridCol w:w="5227"/>
        <w:gridCol w:w="5227"/>
        <w:gridCol w:w="5262"/>
      </w:tblGrid>
      <w:tr w:rsidR="008B0EAA" w:rsidRPr="005B6214" w:rsidTr="00766378">
        <w:trPr>
          <w:gridAfter w:val="4"/>
          <w:wAfter w:w="21792" w:type="dxa"/>
          <w:cantSplit/>
          <w:trHeight w:val="420"/>
        </w:trPr>
        <w:tc>
          <w:tcPr>
            <w:tcW w:w="675" w:type="dxa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2694" w:type="dxa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850" w:type="dxa"/>
            <w:gridSpan w:val="2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669" w:type="dxa"/>
            <w:gridSpan w:val="5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8B0EAA" w:rsidRPr="005B6214" w:rsidTr="00766378">
        <w:trPr>
          <w:gridAfter w:val="4"/>
          <w:wAfter w:w="21792" w:type="dxa"/>
          <w:cantSplit/>
          <w:trHeight w:val="680"/>
        </w:trPr>
        <w:tc>
          <w:tcPr>
            <w:tcW w:w="675" w:type="dxa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694" w:type="dxa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50" w:type="dxa"/>
            <w:gridSpan w:val="2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34" w:type="dxa"/>
          </w:tcPr>
          <w:p w:rsidR="008B0EAA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1133" w:type="dxa"/>
          </w:tcPr>
          <w:p w:rsidR="008B0EAA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</w:tr>
      <w:tr w:rsidR="008B0EAA" w:rsidRPr="005B6214" w:rsidTr="00766378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</w:t>
            </w:r>
            <w:r>
              <w:rPr>
                <w:b/>
              </w:rPr>
              <w:t>2</w:t>
            </w:r>
            <w:r w:rsidRPr="005B6214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5B6214">
              <w:rPr>
                <w:b/>
              </w:rPr>
              <w:t xml:space="preserve"> г.</w:t>
            </w:r>
          </w:p>
        </w:tc>
      </w:tr>
      <w:tr w:rsidR="008B0EAA" w:rsidRPr="005B6214" w:rsidTr="00766378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5B6214">
              <w:rPr>
                <w:b/>
                <w:bCs/>
              </w:rPr>
              <w:t>ндикаторы</w:t>
            </w:r>
          </w:p>
        </w:tc>
      </w:tr>
      <w:tr w:rsidR="008B0EAA" w:rsidRPr="005B6214" w:rsidTr="00766378">
        <w:trPr>
          <w:gridAfter w:val="4"/>
          <w:wAfter w:w="21792" w:type="dxa"/>
        </w:trPr>
        <w:tc>
          <w:tcPr>
            <w:tcW w:w="675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709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м</w:t>
            </w:r>
            <w:r w:rsidRPr="005B6214">
              <w:t xml:space="preserve">лн. </w:t>
            </w: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1284,8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1106,4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1221,8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1365,2</w:t>
            </w:r>
          </w:p>
        </w:tc>
        <w:tc>
          <w:tcPr>
            <w:tcW w:w="1133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1380,7</w:t>
            </w:r>
          </w:p>
        </w:tc>
      </w:tr>
      <w:tr w:rsidR="008B0EAA" w:rsidRPr="005B6214" w:rsidTr="00766378">
        <w:trPr>
          <w:gridAfter w:val="4"/>
          <w:wAfter w:w="21792" w:type="dxa"/>
        </w:trPr>
        <w:tc>
          <w:tcPr>
            <w:tcW w:w="675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709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ед</w:t>
            </w:r>
            <w:r w:rsidRPr="005B6214">
              <w:t>.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824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845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855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855</w:t>
            </w:r>
          </w:p>
        </w:tc>
        <w:tc>
          <w:tcPr>
            <w:tcW w:w="1133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855</w:t>
            </w:r>
          </w:p>
        </w:tc>
      </w:tr>
      <w:tr w:rsidR="008B0EAA" w:rsidRPr="005B6214" w:rsidTr="00766378">
        <w:trPr>
          <w:gridAfter w:val="4"/>
          <w:wAfter w:w="21792" w:type="dxa"/>
          <w:trHeight w:val="964"/>
        </w:trPr>
        <w:tc>
          <w:tcPr>
            <w:tcW w:w="675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т</w:t>
            </w:r>
            <w:r w:rsidRPr="005B6214">
              <w:t>ыс.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2,254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</w:t>
            </w:r>
            <w:r>
              <w:t>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</w:t>
            </w:r>
            <w: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2,1</w:t>
            </w:r>
          </w:p>
        </w:tc>
      </w:tr>
      <w:tr w:rsidR="008B0EAA" w:rsidRPr="005B6214" w:rsidTr="00766378">
        <w:trPr>
          <w:cantSplit/>
          <w:trHeight w:val="401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EAA" w:rsidRPr="005B6214" w:rsidRDefault="008B0EAA" w:rsidP="00766378">
            <w:pPr>
              <w:spacing w:after="200" w:line="276" w:lineRule="auto"/>
            </w:pPr>
          </w:p>
        </w:tc>
        <w:tc>
          <w:tcPr>
            <w:tcW w:w="5227" w:type="dxa"/>
            <w:tcBorders>
              <w:left w:val="nil"/>
            </w:tcBorders>
          </w:tcPr>
          <w:p w:rsidR="008B0EAA" w:rsidRPr="005B6214" w:rsidRDefault="008B0EAA" w:rsidP="00766378">
            <w:pPr>
              <w:spacing w:after="200" w:line="276" w:lineRule="auto"/>
            </w:pPr>
          </w:p>
        </w:tc>
        <w:tc>
          <w:tcPr>
            <w:tcW w:w="5227" w:type="dxa"/>
          </w:tcPr>
          <w:p w:rsidR="008B0EAA" w:rsidRPr="005B6214" w:rsidRDefault="008B0EAA" w:rsidP="00766378">
            <w:pPr>
              <w:spacing w:after="200" w:line="276" w:lineRule="auto"/>
            </w:pPr>
          </w:p>
        </w:tc>
        <w:tc>
          <w:tcPr>
            <w:tcW w:w="5262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B0EAA" w:rsidRPr="005B6214" w:rsidTr="00766378">
        <w:trPr>
          <w:gridAfter w:val="4"/>
          <w:wAfter w:w="2179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1650</w:t>
            </w:r>
          </w:p>
        </w:tc>
      </w:tr>
      <w:tr w:rsidR="008B0EAA" w:rsidRPr="005B6214" w:rsidTr="00766378">
        <w:trPr>
          <w:gridAfter w:val="4"/>
          <w:wAfter w:w="21792" w:type="dxa"/>
        </w:trPr>
        <w:tc>
          <w:tcPr>
            <w:tcW w:w="675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709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19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3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8B0EAA" w:rsidRPr="005B6214" w:rsidTr="00766378">
        <w:trPr>
          <w:gridAfter w:val="4"/>
          <w:wAfter w:w="21792" w:type="dxa"/>
        </w:trPr>
        <w:tc>
          <w:tcPr>
            <w:tcW w:w="675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</w:tcPr>
          <w:p w:rsidR="008B0EAA" w:rsidRPr="005B6214" w:rsidRDefault="008B0EAA" w:rsidP="00766378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709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13277,6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13978,8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15388,49</w:t>
            </w:r>
          </w:p>
        </w:tc>
        <w:tc>
          <w:tcPr>
            <w:tcW w:w="1134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33" w:type="dxa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16844,03</w:t>
            </w:r>
          </w:p>
        </w:tc>
      </w:tr>
    </w:tbl>
    <w:p w:rsidR="008B0EAA" w:rsidRDefault="008B0EAA" w:rsidP="008B0EA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8B0EAA" w:rsidRPr="005B6214" w:rsidRDefault="008B0EAA" w:rsidP="008B0EA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lastRenderedPageBreak/>
        <w:t>2. 6. Меры правового регулирования</w:t>
      </w:r>
    </w:p>
    <w:p w:rsidR="008B0EAA" w:rsidRPr="005B6214" w:rsidRDefault="008B0EAA" w:rsidP="008B0EA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8B0EAA" w:rsidRPr="005B6214" w:rsidRDefault="008B0EAA" w:rsidP="008B0EAA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утвержденной в установленном порядке муниципальной программы поддержки малого и среднего предпринимательства.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gramStart"/>
      <w:r w:rsidRPr="005B6214">
        <w:t>со</w:t>
      </w:r>
      <w:proofErr w:type="gramEnd"/>
      <w:r w:rsidRPr="005B6214">
        <w:t xml:space="preserve"> финансирования из местного бюджета);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</w:t>
      </w:r>
      <w:r>
        <w:t>№</w:t>
      </w:r>
      <w:r w:rsidRPr="005B6214">
        <w:t xml:space="preserve">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утвержденных в установленном порядке муниципальных программ поддержки малого и среднего предпринимательства».</w:t>
      </w:r>
    </w:p>
    <w:p w:rsidR="008B0EAA" w:rsidRDefault="008B0EAA" w:rsidP="008B0EAA">
      <w:pPr>
        <w:widowControl w:val="0"/>
        <w:autoSpaceDE w:val="0"/>
        <w:autoSpaceDN w:val="0"/>
        <w:adjustRightInd w:val="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Предполагаемые объемы финансирования Программы за счет всех источников финансирования за весь период реализации Подпрограммы – </w:t>
      </w:r>
      <w:r>
        <w:rPr>
          <w:bCs/>
        </w:rPr>
        <w:t>2 444</w:t>
      </w:r>
      <w:r w:rsidRPr="005B6214">
        <w:rPr>
          <w:bCs/>
        </w:rPr>
        <w:t>,</w:t>
      </w:r>
      <w:r>
        <w:rPr>
          <w:bCs/>
        </w:rPr>
        <w:t>78391</w:t>
      </w:r>
      <w:r w:rsidRPr="005B6214">
        <w:rPr>
          <w:bCs/>
        </w:rPr>
        <w:t>тыс. рублей, в том числе: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местного бюджета в сумме </w:t>
      </w:r>
      <w:r>
        <w:rPr>
          <w:bCs/>
        </w:rPr>
        <w:t>1 644</w:t>
      </w:r>
      <w:r w:rsidRPr="005B6214">
        <w:rPr>
          <w:bCs/>
        </w:rPr>
        <w:t>,</w:t>
      </w:r>
      <w:r>
        <w:rPr>
          <w:bCs/>
        </w:rPr>
        <w:t>78391</w:t>
      </w:r>
      <w:r w:rsidRPr="005B6214">
        <w:rPr>
          <w:bCs/>
        </w:rPr>
        <w:t xml:space="preserve">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областного бюджета в сумме </w:t>
      </w:r>
      <w:r>
        <w:rPr>
          <w:bCs/>
        </w:rPr>
        <w:t>800</w:t>
      </w:r>
      <w:r w:rsidRPr="005B6214">
        <w:rPr>
          <w:bCs/>
        </w:rPr>
        <w:t>,00 тыс. рублей будут направлены на реализацию мероприятий финансовой поддержки малого и среднего предпринимательства;</w:t>
      </w:r>
    </w:p>
    <w:p w:rsidR="008B0EAA" w:rsidRPr="005B6214" w:rsidRDefault="008B0EAA" w:rsidP="008B0EA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gramStart"/>
      <w:r w:rsidRPr="005B6214">
        <w:rPr>
          <w:bCs/>
        </w:rPr>
        <w:t>со</w:t>
      </w:r>
      <w:proofErr w:type="gramEnd"/>
      <w:r w:rsidRPr="005B6214">
        <w:rPr>
          <w:bCs/>
        </w:rPr>
        <w:t xml:space="preserve"> финансирования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922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667"/>
        <w:gridCol w:w="1346"/>
        <w:gridCol w:w="1276"/>
        <w:gridCol w:w="1276"/>
        <w:gridCol w:w="1377"/>
      </w:tblGrid>
      <w:tr w:rsidR="008B0EAA" w:rsidRPr="005B6214" w:rsidTr="00766378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Статус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>Расходы (тыс. руб.), годы</w:t>
            </w:r>
          </w:p>
        </w:tc>
      </w:tr>
      <w:tr w:rsidR="008B0EAA" w:rsidRPr="005B6214" w:rsidTr="00766378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pStyle w:val="aff"/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pStyle w:val="aff"/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pStyle w:val="af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pStyle w:val="aff"/>
              <w:jc w:val="center"/>
            </w:pPr>
            <w:r>
              <w:t>2024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>Всего</w:t>
            </w:r>
          </w:p>
        </w:tc>
      </w:tr>
      <w:tr w:rsidR="008B0EAA" w:rsidRPr="005B6214" w:rsidTr="00766378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1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2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 xml:space="preserve">5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>6</w:t>
            </w:r>
          </w:p>
        </w:tc>
      </w:tr>
      <w:tr w:rsidR="008B0EAA" w:rsidRPr="005B6214" w:rsidTr="0076637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</w:t>
            </w:r>
            <w:r>
              <w:t>2 – 2024</w:t>
            </w:r>
            <w:r w:rsidRPr="005B6214">
              <w:t xml:space="preserve"> годы</w:t>
            </w:r>
          </w:p>
          <w:p w:rsidR="008B0EAA" w:rsidRPr="005B6214" w:rsidRDefault="008B0EAA" w:rsidP="00766378">
            <w:pPr>
              <w:pStyle w:val="aff"/>
              <w:jc w:val="both"/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0EAA" w:rsidRPr="005B6214" w:rsidRDefault="008B0EAA" w:rsidP="00766378">
            <w:pPr>
              <w:pStyle w:val="aff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jc w:val="center"/>
            </w:pPr>
            <w:r>
              <w:t>2 244,78391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jc w:val="center"/>
            </w:pPr>
            <w:r>
              <w:t>100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EAA" w:rsidRPr="005B6214" w:rsidRDefault="008B0EAA" w:rsidP="00766378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B0EAA" w:rsidRPr="005B6214" w:rsidRDefault="008B0EAA" w:rsidP="00766378">
            <w:pPr>
              <w:pStyle w:val="aff"/>
              <w:jc w:val="center"/>
            </w:pPr>
            <w:r>
              <w:t>2 444,78391</w:t>
            </w:r>
          </w:p>
        </w:tc>
      </w:tr>
    </w:tbl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both"/>
        <w:rPr>
          <w:bCs/>
        </w:rPr>
        <w:sectPr w:rsidR="008B0EAA" w:rsidRPr="005B6214" w:rsidSect="00451C19">
          <w:headerReference w:type="even" r:id="rId12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8B0EAA" w:rsidRDefault="008B0EAA" w:rsidP="008B0EAA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</w:rPr>
      </w:pPr>
      <w:r w:rsidRPr="005B6214">
        <w:lastRenderedPageBreak/>
        <w:t>Таблица 4.</w:t>
      </w:r>
      <w:r w:rsidRPr="005B6214">
        <w:rPr>
          <w:color w:val="000000" w:themeColor="text1"/>
        </w:rPr>
        <w:t>Прогн</w:t>
      </w:r>
      <w:r>
        <w:rPr>
          <w:color w:val="000000" w:themeColor="text1"/>
        </w:rPr>
        <w:t xml:space="preserve">озная оценка расходов на </w:t>
      </w:r>
      <w:r w:rsidRPr="005B6214">
        <w:rPr>
          <w:color w:val="000000" w:themeColor="text1"/>
        </w:rPr>
        <w:t xml:space="preserve">реализацию </w:t>
      </w:r>
      <w:proofErr w:type="gramStart"/>
      <w:r w:rsidRPr="005B6214">
        <w:rPr>
          <w:color w:val="000000" w:themeColor="text1"/>
        </w:rPr>
        <w:t>муниципальной</w:t>
      </w:r>
      <w:proofErr w:type="gramEnd"/>
      <w:r w:rsidRPr="005B6214">
        <w:rPr>
          <w:color w:val="000000" w:themeColor="text1"/>
        </w:rPr>
        <w:t xml:space="preserve"> </w:t>
      </w:r>
    </w:p>
    <w:p w:rsidR="008B0EAA" w:rsidRPr="00D476E0" w:rsidRDefault="008B0EAA" w:rsidP="008B0EAA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rPr>
          <w:color w:val="000000" w:themeColor="text1"/>
        </w:rPr>
        <w:t>программы за счет всех источников</w:t>
      </w:r>
      <w:r>
        <w:rPr>
          <w:color w:val="000000" w:themeColor="text1"/>
        </w:rPr>
        <w:t xml:space="preserve"> финансирования</w:t>
      </w:r>
    </w:p>
    <w:p w:rsidR="008B0EAA" w:rsidRDefault="008B0EAA" w:rsidP="008B0EAA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234"/>
        <w:gridCol w:w="1818"/>
        <w:gridCol w:w="1679"/>
        <w:gridCol w:w="1399"/>
        <w:gridCol w:w="1260"/>
      </w:tblGrid>
      <w:tr w:rsidR="008B0EAA" w:rsidRPr="005B6214" w:rsidTr="00766378">
        <w:trPr>
          <w:cantSplit/>
          <w:trHeight w:val="280"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Статус</w:t>
            </w: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91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2183" w:type="pct"/>
            <w:gridSpan w:val="3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8B0EAA" w:rsidRPr="005B6214" w:rsidTr="00766378">
        <w:trPr>
          <w:cantSplit/>
          <w:trHeight w:val="260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2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4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</w:t>
            </w:r>
            <w:r>
              <w:rPr>
                <w:color w:val="000000"/>
              </w:rPr>
              <w:t>2</w:t>
            </w:r>
            <w:r w:rsidRPr="005B621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B6214">
              <w:rPr>
                <w:color w:val="000000"/>
              </w:rPr>
              <w:t xml:space="preserve"> годы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jc w:val="center"/>
            </w:pPr>
            <w:r w:rsidRPr="00503281">
              <w:t>2 24</w:t>
            </w:r>
            <w:r>
              <w:t>4</w:t>
            </w:r>
            <w:r w:rsidRPr="00503281">
              <w:t>,</w:t>
            </w:r>
            <w:r>
              <w:t>78391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jc w:val="center"/>
            </w:pPr>
            <w:r w:rsidRPr="00503281">
              <w:t>1 44</w:t>
            </w:r>
            <w:r>
              <w:t>4</w:t>
            </w:r>
            <w:r w:rsidRPr="00503281">
              <w:t>,</w:t>
            </w:r>
            <w:r>
              <w:t>78391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300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332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800,00000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 xml:space="preserve">3. Формирование положительного имиджа малого и среднего предпринимательства, содействие деятельности общественных </w:t>
            </w:r>
            <w:r w:rsidRPr="005B6214">
              <w:rPr>
                <w:color w:val="000000" w:themeColor="text1"/>
              </w:rPr>
              <w:lastRenderedPageBreak/>
              <w:t>организаций объединений предпринимателей</w:t>
            </w: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37</w:t>
            </w:r>
            <w:r w:rsidRPr="005B6214">
              <w:t>,0</w:t>
            </w:r>
            <w:r>
              <w:t>0500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jc w:val="center"/>
            </w:pPr>
            <w:r>
              <w:t>37</w:t>
            </w:r>
            <w:r w:rsidRPr="005B6214">
              <w:t>,0</w:t>
            </w:r>
            <w:r>
              <w:t>0500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jc w:val="center"/>
            </w:pPr>
            <w:r w:rsidRPr="005B6214">
              <w:t>70,0</w:t>
            </w:r>
            <w:r>
              <w:t>0000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r w:rsidRPr="005B6214">
              <w:t xml:space="preserve">       расходы областного бюджета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1 207,99500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1 207,99500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315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363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450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999</w:t>
            </w:r>
            <w:r w:rsidRPr="00503281">
              <w:t>,</w:t>
            </w:r>
            <w:r>
              <w:t>78391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8B0EAA" w:rsidRPr="00503281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199</w:t>
            </w:r>
            <w:r w:rsidRPr="00503281">
              <w:t>,</w:t>
            </w:r>
            <w:r>
              <w:t>78391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jc w:val="both"/>
            </w:pPr>
            <w:r w:rsidRPr="005B6214">
              <w:t xml:space="preserve">расходы областного бюджета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800,00000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1740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25" w:type="pct"/>
            <w:vMerge w:val="restar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704" w:type="pct"/>
          </w:tcPr>
          <w:p w:rsidR="008B0EAA" w:rsidRPr="005B6214" w:rsidRDefault="008B0EAA" w:rsidP="00766378">
            <w:pPr>
              <w:jc w:val="center"/>
            </w:pPr>
            <w:r w:rsidRPr="005B6214">
              <w:t>0</w:t>
            </w:r>
          </w:p>
        </w:tc>
        <w:tc>
          <w:tcPr>
            <w:tcW w:w="634" w:type="pct"/>
          </w:tcPr>
          <w:p w:rsidR="008B0EAA" w:rsidRPr="005B6214" w:rsidRDefault="008B0EAA" w:rsidP="00766378">
            <w:pPr>
              <w:jc w:val="center"/>
            </w:pPr>
            <w:r w:rsidRPr="005B6214">
              <w:t>0</w:t>
            </w:r>
          </w:p>
        </w:tc>
      </w:tr>
      <w:tr w:rsidR="008B0EAA" w:rsidRPr="005B6214" w:rsidTr="00766378">
        <w:trPr>
          <w:cantSplit/>
          <w:trHeight w:val="562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jc w:val="center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jc w:val="center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149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  <w:trHeight w:val="480"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8B0EAA" w:rsidRPr="005B6214" w:rsidTr="00766378">
        <w:trPr>
          <w:cantSplit/>
        </w:trPr>
        <w:tc>
          <w:tcPr>
            <w:tcW w:w="777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8B0EAA" w:rsidRPr="005B6214" w:rsidRDefault="008B0EAA" w:rsidP="0076637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8B0EAA" w:rsidRPr="005B6214" w:rsidRDefault="008B0EAA" w:rsidP="008B0EAA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B0EAA" w:rsidRPr="00BB7516" w:rsidRDefault="008B0EAA" w:rsidP="008B0EAA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планирование бюджетных расходов с применением методик оценки эффективности </w:t>
      </w:r>
      <w:r w:rsidRPr="005B6214">
        <w:rPr>
          <w:bCs/>
        </w:rPr>
        <w:lastRenderedPageBreak/>
        <w:t>бюджетных расходов;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участников реализации Программы</w:t>
      </w:r>
      <w:proofErr w:type="gramEnd"/>
      <w:r w:rsidRPr="005B6214">
        <w:rPr>
          <w:bCs/>
        </w:rPr>
        <w:t>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2.11. Оценка планируемой эффективности муниципальной программы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Pr="005B6214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both"/>
      </w:pPr>
    </w:p>
    <w:p w:rsidR="008B0EAA" w:rsidRDefault="008B0EAA" w:rsidP="008B0EAA">
      <w:pPr>
        <w:widowControl w:val="0"/>
        <w:autoSpaceDE w:val="0"/>
        <w:autoSpaceDN w:val="0"/>
        <w:adjustRightInd w:val="0"/>
        <w:ind w:firstLine="540"/>
        <w:jc w:val="center"/>
      </w:pPr>
      <w:r w:rsidRPr="005B6214">
        <w:t>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AE" w:rsidRDefault="004112AE">
      <w:r>
        <w:separator/>
      </w:r>
    </w:p>
  </w:endnote>
  <w:endnote w:type="continuationSeparator" w:id="0">
    <w:p w:rsidR="004112AE" w:rsidRDefault="004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AE" w:rsidRDefault="004112AE">
      <w:r>
        <w:separator/>
      </w:r>
    </w:p>
  </w:footnote>
  <w:footnote w:type="continuationSeparator" w:id="0">
    <w:p w:rsidR="004112AE" w:rsidRDefault="0041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AA" w:rsidRDefault="008B0EA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0EAA" w:rsidRDefault="008B0E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435D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2AB0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12AE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333F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45310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0EAA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5BA1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8B0E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2969-0D0B-42CA-80F4-3FC749C3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7205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2023-02-02T11:21:00Z</cp:lastPrinted>
  <dcterms:created xsi:type="dcterms:W3CDTF">2023-02-02T11:22:00Z</dcterms:created>
  <dcterms:modified xsi:type="dcterms:W3CDTF">2023-02-02T11:22:00Z</dcterms:modified>
</cp:coreProperties>
</file>