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2ADA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02ADA">
        <w:rPr>
          <w:sz w:val="26"/>
          <w:szCs w:val="26"/>
          <w:u w:val="single"/>
        </w:rPr>
        <w:t>1439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B02ADA" w:rsidRPr="00CA590E" w:rsidRDefault="00B02ADA" w:rsidP="00B02ADA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 w:rsidRPr="00CA590E">
        <w:rPr>
          <w:b/>
          <w:noProof/>
          <w:sz w:val="26"/>
          <w:szCs w:val="26"/>
        </w:rPr>
        <w:t xml:space="preserve">реестра  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>город Шахунья Нижегородской области»</w:t>
      </w:r>
    </w:p>
    <w:p w:rsidR="00B02ADA" w:rsidRDefault="00B02ADA" w:rsidP="00B02ADA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B02ADA" w:rsidRPr="00CA590E" w:rsidRDefault="00B02ADA" w:rsidP="00B02ADA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B02ADA" w:rsidRPr="00627F19" w:rsidRDefault="00B02ADA" w:rsidP="00B02ADA">
      <w:pPr>
        <w:widowControl w:val="0"/>
        <w:spacing w:line="360" w:lineRule="auto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>з</w:t>
      </w:r>
      <w:r w:rsidRPr="00CA590E">
        <w:rPr>
          <w:sz w:val="26"/>
          <w:szCs w:val="26"/>
        </w:rPr>
        <w:t xml:space="preserve">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>администрация городского округа город Шахунья Нижегородской области</w:t>
      </w:r>
      <w:r>
        <w:rPr>
          <w:sz w:val="26"/>
          <w:szCs w:val="26"/>
          <w:shd w:val="clear" w:color="auto" w:fill="FFFFFF"/>
        </w:rPr>
        <w:t xml:space="preserve"> </w:t>
      </w:r>
      <w:r w:rsidRPr="00CA590E">
        <w:rPr>
          <w:sz w:val="26"/>
          <w:szCs w:val="26"/>
          <w:shd w:val="clear" w:color="auto" w:fill="FFFFFF"/>
        </w:rPr>
        <w:t xml:space="preserve"> </w:t>
      </w:r>
      <w:proofErr w:type="gramStart"/>
      <w:r w:rsidRPr="00CA590E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proofErr w:type="gramStart"/>
      <w:r>
        <w:rPr>
          <w:b/>
          <w:sz w:val="26"/>
          <w:szCs w:val="26"/>
          <w:shd w:val="clear" w:color="auto" w:fill="FFFFFF"/>
        </w:rPr>
        <w:t xml:space="preserve"> </w:t>
      </w:r>
      <w:r w:rsidRPr="00B02ADA">
        <w:rPr>
          <w:b/>
          <w:sz w:val="26"/>
          <w:szCs w:val="26"/>
          <w:shd w:val="clear" w:color="auto" w:fill="FFFFFF"/>
        </w:rPr>
        <w:t>:</w:t>
      </w:r>
      <w:proofErr w:type="gramEnd"/>
    </w:p>
    <w:p w:rsidR="00B02ADA" w:rsidRDefault="00B02ADA" w:rsidP="00B02ADA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A590E">
        <w:rPr>
          <w:sz w:val="26"/>
          <w:szCs w:val="26"/>
        </w:rPr>
        <w:t xml:space="preserve">1. </w:t>
      </w:r>
      <w:proofErr w:type="gramStart"/>
      <w:r w:rsidRPr="00CA590E">
        <w:rPr>
          <w:sz w:val="26"/>
          <w:szCs w:val="26"/>
        </w:rPr>
        <w:t xml:space="preserve">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Шахунья Нижегородской област</w:t>
      </w:r>
      <w:r>
        <w:rPr>
          <w:noProof/>
          <w:sz w:val="26"/>
          <w:szCs w:val="26"/>
        </w:rPr>
        <w:t>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</w:t>
      </w:r>
      <w:r>
        <w:rPr>
          <w:noProof/>
          <w:sz w:val="26"/>
          <w:szCs w:val="26"/>
        </w:rPr>
        <w:t xml:space="preserve">, </w:t>
      </w:r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24.12.2019</w:t>
      </w:r>
      <w:r>
        <w:rPr>
          <w:bCs/>
          <w:color w:val="000000"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>№ 1547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10.03.2020</w:t>
      </w:r>
      <w:proofErr w:type="gramEnd"/>
      <w:r w:rsidRPr="00CA590E">
        <w:rPr>
          <w:bCs/>
          <w:color w:val="000000"/>
          <w:sz w:val="26"/>
          <w:szCs w:val="26"/>
        </w:rPr>
        <w:t xml:space="preserve"> № </w:t>
      </w:r>
      <w:proofErr w:type="gramStart"/>
      <w:r w:rsidRPr="00CA590E">
        <w:rPr>
          <w:bCs/>
          <w:color w:val="000000"/>
          <w:sz w:val="26"/>
          <w:szCs w:val="26"/>
        </w:rPr>
        <w:t>228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06.07.2020 № 542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23.07.2020 № 624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 xml:space="preserve">№ 265, от 20.10.2021 № 1180, от 22.10.2021 № 1205, </w:t>
      </w:r>
      <w:r>
        <w:rPr>
          <w:bCs/>
          <w:color w:val="000000"/>
          <w:sz w:val="26"/>
          <w:szCs w:val="26"/>
        </w:rPr>
        <w:t xml:space="preserve">от 22.12.2021 № </w:t>
      </w:r>
      <w:r w:rsidRPr="00CA590E">
        <w:rPr>
          <w:bCs/>
          <w:color w:val="000000"/>
          <w:sz w:val="26"/>
          <w:szCs w:val="26"/>
        </w:rPr>
        <w:t>1506,</w:t>
      </w:r>
      <w:r>
        <w:rPr>
          <w:bCs/>
          <w:color w:val="000000"/>
          <w:sz w:val="26"/>
          <w:szCs w:val="26"/>
        </w:rPr>
        <w:t xml:space="preserve"> от 19.01.2022 № 36, от 25.03.2022 № 246, от 19.05.2022 № 492, от 09.08.2022 № 866, от 11.10.2022      </w:t>
      </w:r>
      <w:r>
        <w:rPr>
          <w:bCs/>
          <w:color w:val="000000"/>
          <w:sz w:val="26"/>
          <w:szCs w:val="26"/>
        </w:rPr>
        <w:lastRenderedPageBreak/>
        <w:t>№ 1136, от 02.11.2022 № 1267, от 29.11.2022 № 1369)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</w:t>
      </w:r>
      <w:r>
        <w:rPr>
          <w:bCs/>
          <w:color w:val="000000"/>
          <w:sz w:val="26"/>
          <w:szCs w:val="26"/>
        </w:rPr>
        <w:t>, дополнив реестр пунктами  491, 492 следующего содержания:</w:t>
      </w:r>
      <w:proofErr w:type="gramEnd"/>
    </w:p>
    <w:p w:rsidR="00B02ADA" w:rsidRDefault="00B02ADA" w:rsidP="00B02ADA">
      <w:pPr>
        <w:jc w:val="both"/>
        <w:rPr>
          <w:sz w:val="26"/>
          <w:szCs w:val="26"/>
        </w:rPr>
      </w:pPr>
    </w:p>
    <w:tbl>
      <w:tblPr>
        <w:tblStyle w:val="a4"/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49"/>
        <w:gridCol w:w="834"/>
        <w:gridCol w:w="851"/>
        <w:gridCol w:w="567"/>
        <w:gridCol w:w="708"/>
        <w:gridCol w:w="567"/>
        <w:gridCol w:w="851"/>
        <w:gridCol w:w="567"/>
        <w:gridCol w:w="567"/>
        <w:gridCol w:w="425"/>
        <w:gridCol w:w="425"/>
        <w:gridCol w:w="426"/>
        <w:gridCol w:w="400"/>
        <w:gridCol w:w="450"/>
        <w:gridCol w:w="425"/>
        <w:gridCol w:w="426"/>
        <w:gridCol w:w="425"/>
        <w:gridCol w:w="425"/>
        <w:gridCol w:w="425"/>
      </w:tblGrid>
      <w:tr w:rsidR="00B02ADA" w:rsidRPr="00A07481" w:rsidTr="00D20866">
        <w:trPr>
          <w:trHeight w:val="20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153B6D" w:rsidRDefault="00B02ADA" w:rsidP="00D2086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20</w:t>
            </w:r>
          </w:p>
        </w:tc>
      </w:tr>
      <w:tr w:rsidR="00B02ADA" w:rsidRPr="00A07481" w:rsidTr="00D20866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49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proofErr w:type="spellStart"/>
            <w:r w:rsidRPr="00FE4CCC">
              <w:rPr>
                <w:sz w:val="12"/>
                <w:szCs w:val="12"/>
              </w:rPr>
              <w:t>г.о.г</w:t>
            </w:r>
            <w:proofErr w:type="gramStart"/>
            <w:r w:rsidRPr="00FE4CCC">
              <w:rPr>
                <w:sz w:val="12"/>
                <w:szCs w:val="12"/>
              </w:rPr>
              <w:t>.Ш</w:t>
            </w:r>
            <w:proofErr w:type="gramEnd"/>
            <w:r w:rsidRPr="00FE4CCC">
              <w:rPr>
                <w:sz w:val="12"/>
                <w:szCs w:val="12"/>
              </w:rPr>
              <w:t>ахунья</w:t>
            </w:r>
            <w:proofErr w:type="spellEnd"/>
            <w:r w:rsidRPr="00FE4CCC">
              <w:rPr>
                <w:sz w:val="12"/>
                <w:szCs w:val="12"/>
              </w:rPr>
              <w:t xml:space="preserve"> ,       </w:t>
            </w:r>
            <w:proofErr w:type="spellStart"/>
            <w:r w:rsidRPr="00BC7206">
              <w:rPr>
                <w:sz w:val="12"/>
                <w:szCs w:val="12"/>
              </w:rPr>
              <w:t>р.п</w:t>
            </w:r>
            <w:proofErr w:type="spellEnd"/>
            <w:r w:rsidRPr="00BC7206">
              <w:rPr>
                <w:sz w:val="12"/>
                <w:szCs w:val="12"/>
              </w:rPr>
              <w:t xml:space="preserve">. </w:t>
            </w:r>
            <w:proofErr w:type="spellStart"/>
            <w:r w:rsidRPr="00BC7206">
              <w:rPr>
                <w:sz w:val="12"/>
                <w:szCs w:val="12"/>
              </w:rPr>
              <w:t>Вахтан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BC7206">
              <w:rPr>
                <w:sz w:val="12"/>
                <w:szCs w:val="12"/>
              </w:rPr>
              <w:t>ул. Рогожникова, д.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BC7206">
              <w:rPr>
                <w:sz w:val="12"/>
                <w:szCs w:val="12"/>
              </w:rPr>
              <w:t>ООО МК «</w:t>
            </w:r>
            <w:proofErr w:type="spellStart"/>
            <w:r w:rsidRPr="00BC7206">
              <w:rPr>
                <w:sz w:val="12"/>
                <w:szCs w:val="12"/>
              </w:rPr>
              <w:t>Звениговский</w:t>
            </w:r>
            <w:proofErr w:type="spellEnd"/>
            <w:r w:rsidRPr="00BC7206">
              <w:rPr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 xml:space="preserve">ОГРН </w:t>
            </w:r>
            <w:r>
              <w:rPr>
                <w:sz w:val="12"/>
                <w:szCs w:val="12"/>
              </w:rPr>
              <w:t>1041200000016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proofErr w:type="spellStart"/>
            <w:r w:rsidRPr="00BC7206">
              <w:rPr>
                <w:sz w:val="12"/>
                <w:szCs w:val="12"/>
              </w:rPr>
              <w:t>р.п</w:t>
            </w:r>
            <w:proofErr w:type="spellEnd"/>
            <w:r w:rsidRPr="00BC7206">
              <w:rPr>
                <w:sz w:val="12"/>
                <w:szCs w:val="12"/>
              </w:rPr>
              <w:t xml:space="preserve">. </w:t>
            </w:r>
            <w:proofErr w:type="spellStart"/>
            <w:r w:rsidRPr="00BC7206">
              <w:rPr>
                <w:sz w:val="12"/>
                <w:szCs w:val="12"/>
              </w:rPr>
              <w:t>Вахтан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r w:rsidRPr="00BC7206">
              <w:rPr>
                <w:sz w:val="12"/>
                <w:szCs w:val="12"/>
              </w:rPr>
              <w:t>ул. Рогожникова, д.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Продуктовый магазин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ООО "</w:t>
            </w:r>
            <w:proofErr w:type="spellStart"/>
            <w:r w:rsidRPr="00FE4CCC">
              <w:rPr>
                <w:sz w:val="12"/>
                <w:szCs w:val="12"/>
              </w:rPr>
              <w:t>ЭкоСтандарт</w:t>
            </w:r>
            <w:proofErr w:type="spellEnd"/>
            <w:r w:rsidRPr="00FE4CCC">
              <w:rPr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 ТКО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бетон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Оборудована</w:t>
            </w:r>
          </w:p>
        </w:tc>
      </w:tr>
      <w:tr w:rsidR="00B02ADA" w:rsidRPr="00A07481" w:rsidTr="00D20866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492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proofErr w:type="spellStart"/>
            <w:r w:rsidRPr="00FE4CCC">
              <w:rPr>
                <w:sz w:val="12"/>
                <w:szCs w:val="12"/>
              </w:rPr>
              <w:t>г.о.г</w:t>
            </w:r>
            <w:proofErr w:type="gramStart"/>
            <w:r w:rsidRPr="00FE4CCC">
              <w:rPr>
                <w:sz w:val="12"/>
                <w:szCs w:val="12"/>
              </w:rPr>
              <w:t>.Ш</w:t>
            </w:r>
            <w:proofErr w:type="gramEnd"/>
            <w:r w:rsidRPr="00FE4CCC">
              <w:rPr>
                <w:sz w:val="12"/>
                <w:szCs w:val="12"/>
              </w:rPr>
              <w:t>ахунья</w:t>
            </w:r>
            <w:proofErr w:type="spellEnd"/>
            <w:r w:rsidRPr="00FE4CCC">
              <w:rPr>
                <w:sz w:val="12"/>
                <w:szCs w:val="12"/>
              </w:rPr>
              <w:t xml:space="preserve"> ,       </w:t>
            </w:r>
            <w:proofErr w:type="spellStart"/>
            <w:r w:rsidRPr="00BC7206">
              <w:rPr>
                <w:sz w:val="12"/>
                <w:szCs w:val="12"/>
              </w:rPr>
              <w:t>р.п</w:t>
            </w:r>
            <w:proofErr w:type="spellEnd"/>
            <w:r w:rsidRPr="00BC7206"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Сява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BC7206">
              <w:rPr>
                <w:sz w:val="12"/>
                <w:szCs w:val="12"/>
              </w:rPr>
              <w:t xml:space="preserve">ул. </w:t>
            </w:r>
            <w:r w:rsidRPr="00C52EE0">
              <w:rPr>
                <w:sz w:val="12"/>
                <w:szCs w:val="12"/>
              </w:rPr>
              <w:t>Кирова, д. 27А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BC7206">
              <w:rPr>
                <w:sz w:val="12"/>
                <w:szCs w:val="12"/>
              </w:rPr>
              <w:t>ООО МК «</w:t>
            </w:r>
            <w:proofErr w:type="spellStart"/>
            <w:r w:rsidRPr="00BC7206">
              <w:rPr>
                <w:sz w:val="12"/>
                <w:szCs w:val="12"/>
              </w:rPr>
              <w:t>Звениговский</w:t>
            </w:r>
            <w:proofErr w:type="spellEnd"/>
            <w:r w:rsidRPr="00BC7206">
              <w:rPr>
                <w:sz w:val="12"/>
                <w:szCs w:val="1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 xml:space="preserve">ОГРН </w:t>
            </w:r>
            <w:r>
              <w:rPr>
                <w:sz w:val="12"/>
                <w:szCs w:val="12"/>
              </w:rPr>
              <w:t>1041200000016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proofErr w:type="spellStart"/>
            <w:r w:rsidRPr="00BC7206">
              <w:rPr>
                <w:sz w:val="12"/>
                <w:szCs w:val="12"/>
              </w:rPr>
              <w:t>р.п</w:t>
            </w:r>
            <w:proofErr w:type="spellEnd"/>
            <w:r w:rsidRPr="00BC7206"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Сява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r w:rsidRPr="00BC7206">
              <w:rPr>
                <w:sz w:val="12"/>
                <w:szCs w:val="12"/>
              </w:rPr>
              <w:t xml:space="preserve">ул. </w:t>
            </w:r>
            <w:r w:rsidRPr="00C52EE0">
              <w:rPr>
                <w:sz w:val="12"/>
                <w:szCs w:val="12"/>
              </w:rPr>
              <w:t>Кирова, д. 27А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Продуктовый магазин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ООО "</w:t>
            </w:r>
            <w:proofErr w:type="spellStart"/>
            <w:r w:rsidRPr="00FE4CCC">
              <w:rPr>
                <w:sz w:val="12"/>
                <w:szCs w:val="12"/>
              </w:rPr>
              <w:t>ЭкоСтандарт</w:t>
            </w:r>
            <w:proofErr w:type="spellEnd"/>
            <w:r w:rsidRPr="00FE4CCC">
              <w:rPr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 ТКО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бетон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A" w:rsidRPr="00FE4CCC" w:rsidRDefault="00B02ADA" w:rsidP="00D20866">
            <w:pPr>
              <w:jc w:val="center"/>
              <w:rPr>
                <w:sz w:val="12"/>
                <w:szCs w:val="12"/>
              </w:rPr>
            </w:pPr>
            <w:r w:rsidRPr="00FE4CCC">
              <w:rPr>
                <w:sz w:val="12"/>
                <w:szCs w:val="12"/>
              </w:rPr>
              <w:t>Оборудована</w:t>
            </w:r>
          </w:p>
        </w:tc>
      </w:tr>
    </w:tbl>
    <w:p w:rsidR="00B02ADA" w:rsidRDefault="00B02ADA" w:rsidP="00B02ADA">
      <w:pPr>
        <w:jc w:val="both"/>
        <w:rPr>
          <w:sz w:val="26"/>
          <w:szCs w:val="26"/>
        </w:rPr>
      </w:pPr>
    </w:p>
    <w:p w:rsidR="00B02ADA" w:rsidRPr="00CA590E" w:rsidRDefault="00B02ADA" w:rsidP="00B02AD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590E">
        <w:rPr>
          <w:sz w:val="26"/>
          <w:szCs w:val="26"/>
        </w:rPr>
        <w:t>Общему отделу администрации городского округа город Шахунья Нижегородской области опубликовать настоящее</w:t>
      </w:r>
      <w:r>
        <w:rPr>
          <w:sz w:val="26"/>
          <w:szCs w:val="26"/>
        </w:rPr>
        <w:t xml:space="preserve"> постановление в газете «Знамя 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B02ADA" w:rsidRPr="00CA590E" w:rsidRDefault="00B02ADA" w:rsidP="00B02AD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590E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>городского округа город Шахунья и в газете «Знамя т</w:t>
      </w:r>
      <w:r w:rsidRPr="00CA590E">
        <w:rPr>
          <w:sz w:val="26"/>
          <w:szCs w:val="26"/>
        </w:rPr>
        <w:t>руда».</w:t>
      </w:r>
    </w:p>
    <w:p w:rsidR="00B02ADA" w:rsidRDefault="00B02ADA" w:rsidP="00B02AD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A590E">
        <w:rPr>
          <w:sz w:val="26"/>
          <w:szCs w:val="26"/>
        </w:rPr>
        <w:t>Контроль за</w:t>
      </w:r>
      <w:proofErr w:type="gramEnd"/>
      <w:r w:rsidRPr="00CA59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B02ADA" w:rsidRDefault="00B02ADA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B02ADA" w:rsidRDefault="00B02ADA" w:rsidP="004D2212">
      <w:pPr>
        <w:jc w:val="both"/>
        <w:rPr>
          <w:sz w:val="22"/>
          <w:szCs w:val="22"/>
        </w:rPr>
      </w:pPr>
    </w:p>
    <w:p w:rsidR="00D40FE9" w:rsidRPr="00B02ADA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D40FE9" w:rsidRPr="00B02AD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34" w:rsidRDefault="00E20234">
      <w:r>
        <w:separator/>
      </w:r>
    </w:p>
  </w:endnote>
  <w:endnote w:type="continuationSeparator" w:id="0">
    <w:p w:rsidR="00E20234" w:rsidRDefault="00E2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34" w:rsidRDefault="00E20234">
      <w:r>
        <w:separator/>
      </w:r>
    </w:p>
  </w:footnote>
  <w:footnote w:type="continuationSeparator" w:id="0">
    <w:p w:rsidR="00E20234" w:rsidRDefault="00E2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2ADA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2AB4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0234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F069-22D7-4B57-9EFF-A63C8CF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2022-12-09T11:17:00Z</cp:lastPrinted>
  <dcterms:created xsi:type="dcterms:W3CDTF">2022-12-09T11:17:00Z</dcterms:created>
  <dcterms:modified xsi:type="dcterms:W3CDTF">2022-12-09T11:17:00Z</dcterms:modified>
</cp:coreProperties>
</file>