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9C" w:rsidRPr="00CB7BA4" w:rsidRDefault="0016299C" w:rsidP="00AD4105">
      <w:pPr>
        <w:pStyle w:val="a3"/>
        <w:widowControl w:val="0"/>
        <w:jc w:val="left"/>
        <w:rPr>
          <w:b w:val="0"/>
          <w:sz w:val="20"/>
          <w:szCs w:val="20"/>
          <w:u w:val="none"/>
        </w:rPr>
      </w:pPr>
    </w:p>
    <w:p w:rsidR="00CB7BA4" w:rsidRDefault="00CB7BA4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28080A" w:rsidRPr="0028080A" w:rsidRDefault="0028080A" w:rsidP="002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80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0546F9" wp14:editId="2E80B73E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0A" w:rsidRPr="0028080A" w:rsidRDefault="0028080A" w:rsidP="0028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80A" w:rsidRPr="0028080A" w:rsidRDefault="0028080A" w:rsidP="0028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80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28080A" w:rsidRPr="0028080A" w:rsidRDefault="0028080A" w:rsidP="0028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0A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28080A" w:rsidRPr="0028080A" w:rsidRDefault="0028080A" w:rsidP="0028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080A" w:rsidRPr="0028080A" w:rsidRDefault="0028080A" w:rsidP="0028080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80A" w:rsidRPr="0028080A" w:rsidRDefault="0028080A" w:rsidP="0028080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80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80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28080A" w:rsidRPr="0028080A" w:rsidRDefault="0028080A" w:rsidP="0028080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BA4" w:rsidRDefault="0028080A" w:rsidP="0028080A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  <w:r w:rsidRPr="0028080A">
        <w:rPr>
          <w:b w:val="0"/>
          <w:bCs w:val="0"/>
          <w:sz w:val="24"/>
          <w:szCs w:val="24"/>
          <w:u w:val="none"/>
          <w:lang w:eastAsia="en-US"/>
        </w:rPr>
        <w:t xml:space="preserve">От </w:t>
      </w:r>
      <w:r>
        <w:rPr>
          <w:b w:val="0"/>
          <w:bCs w:val="0"/>
          <w:sz w:val="24"/>
          <w:szCs w:val="24"/>
          <w:u w:val="none"/>
          <w:lang w:eastAsia="en-US"/>
        </w:rPr>
        <w:t>31 января  2020</w:t>
      </w:r>
      <w:r w:rsidRPr="0028080A">
        <w:rPr>
          <w:b w:val="0"/>
          <w:bCs w:val="0"/>
          <w:sz w:val="24"/>
          <w:szCs w:val="24"/>
          <w:u w:val="none"/>
          <w:lang w:eastAsia="en-US"/>
        </w:rPr>
        <w:t xml:space="preserve"> года                                                                           </w:t>
      </w:r>
      <w:r>
        <w:rPr>
          <w:b w:val="0"/>
          <w:bCs w:val="0"/>
          <w:sz w:val="24"/>
          <w:szCs w:val="24"/>
          <w:u w:val="none"/>
          <w:lang w:eastAsia="en-US"/>
        </w:rPr>
        <w:t xml:space="preserve">                             </w:t>
      </w:r>
      <w:r w:rsidRPr="0028080A">
        <w:rPr>
          <w:b w:val="0"/>
          <w:bCs w:val="0"/>
          <w:sz w:val="24"/>
          <w:szCs w:val="24"/>
          <w:u w:val="none"/>
          <w:lang w:eastAsia="en-US"/>
        </w:rPr>
        <w:t>№3</w:t>
      </w:r>
      <w:r>
        <w:rPr>
          <w:b w:val="0"/>
          <w:bCs w:val="0"/>
          <w:sz w:val="24"/>
          <w:szCs w:val="24"/>
          <w:u w:val="none"/>
          <w:lang w:eastAsia="en-US"/>
        </w:rPr>
        <w:t>6-2</w:t>
      </w:r>
    </w:p>
    <w:p w:rsidR="0028080A" w:rsidRDefault="0028080A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«Отчет о работе контрольно-счетной комиссии</w:t>
      </w: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 городского округа город Шахунья</w:t>
      </w: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="00B66EB0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756A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</w:t>
      </w: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Положением о контрольн</w:t>
      </w:r>
      <w:proofErr w:type="gramStart"/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счётной комиссии Совета депутатов  городского округа город Шахунья Нижегородской области, принятого решением Совета депутатов городского округа город Шахунья от 22 декабря 2012 года № 12- 9,</w:t>
      </w: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депутатов </w:t>
      </w:r>
      <w:r w:rsidRPr="00CB7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Принять к сведению отчет о работе контрольно-счетной комиссии Совета депутатов городского округа город Шахунья </w:t>
      </w:r>
      <w:r w:rsidR="00B66EB0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 за</w:t>
      </w: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756A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6EB0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7BA4" w:rsidRPr="00CB7BA4" w:rsidRDefault="00CB7BA4" w:rsidP="00CB7BA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решение посредством размещения на официальном интернет сайте администрации городского округа город Шахунья Нижегородской области.</w:t>
      </w:r>
    </w:p>
    <w:p w:rsidR="00CB7BA4" w:rsidRPr="00CB7BA4" w:rsidRDefault="00CB7BA4" w:rsidP="00CB7BA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местного самоуправления</w:t>
      </w:r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город Шахунья                                                                           </w:t>
      </w:r>
      <w:proofErr w:type="spellStart"/>
      <w:r w:rsidRPr="00CB7BA4">
        <w:rPr>
          <w:rFonts w:ascii="Times New Roman" w:eastAsia="Calibri" w:hAnsi="Times New Roman" w:cs="Times New Roman"/>
          <w:sz w:val="24"/>
          <w:szCs w:val="24"/>
          <w:lang w:eastAsia="ru-RU"/>
        </w:rPr>
        <w:t>Р.В.Кошелев</w:t>
      </w:r>
      <w:proofErr w:type="spellEnd"/>
    </w:p>
    <w:p w:rsidR="00CB7BA4" w:rsidRPr="00CB7BA4" w:rsidRDefault="00CB7BA4" w:rsidP="00CB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A4" w:rsidRDefault="00CB7BA4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CB7BA4" w:rsidRDefault="00CB7BA4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CB7BA4" w:rsidRDefault="00CB7BA4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CB7BA4" w:rsidRDefault="00CB7BA4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2756AA" w:rsidRDefault="002756AA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2756AA" w:rsidRDefault="002756AA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2756AA" w:rsidRDefault="002756AA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2756AA" w:rsidRDefault="002756AA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2756AA" w:rsidRDefault="002756AA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CB7BA4" w:rsidRDefault="00CB7BA4" w:rsidP="0028080A">
      <w:pPr>
        <w:pStyle w:val="a3"/>
        <w:widowControl w:val="0"/>
        <w:jc w:val="left"/>
        <w:rPr>
          <w:b w:val="0"/>
          <w:sz w:val="20"/>
          <w:szCs w:val="20"/>
          <w:u w:val="none"/>
        </w:rPr>
      </w:pPr>
    </w:p>
    <w:p w:rsidR="0028080A" w:rsidRDefault="0028080A" w:rsidP="0028080A">
      <w:pPr>
        <w:pStyle w:val="a3"/>
        <w:widowControl w:val="0"/>
        <w:jc w:val="left"/>
        <w:rPr>
          <w:b w:val="0"/>
          <w:sz w:val="20"/>
          <w:szCs w:val="20"/>
          <w:u w:val="none"/>
        </w:rPr>
      </w:pPr>
    </w:p>
    <w:p w:rsidR="00CB7BA4" w:rsidRDefault="00CB7BA4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</w:p>
    <w:p w:rsidR="0003796D" w:rsidRPr="00CB7BA4" w:rsidRDefault="0003796D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  <w:r w:rsidRPr="00CB7BA4">
        <w:rPr>
          <w:b w:val="0"/>
          <w:sz w:val="20"/>
          <w:szCs w:val="20"/>
          <w:u w:val="none"/>
        </w:rPr>
        <w:lastRenderedPageBreak/>
        <w:t>Приложение к решению</w:t>
      </w:r>
    </w:p>
    <w:p w:rsidR="0003796D" w:rsidRPr="00CB7BA4" w:rsidRDefault="0003796D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  <w:r w:rsidRPr="00CB7BA4">
        <w:rPr>
          <w:b w:val="0"/>
          <w:sz w:val="20"/>
          <w:szCs w:val="20"/>
          <w:u w:val="none"/>
        </w:rPr>
        <w:t xml:space="preserve"> Совета депутатов</w:t>
      </w:r>
    </w:p>
    <w:p w:rsidR="0003796D" w:rsidRPr="00CB7BA4" w:rsidRDefault="0003796D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  <w:r w:rsidRPr="00CB7BA4">
        <w:rPr>
          <w:b w:val="0"/>
          <w:sz w:val="20"/>
          <w:szCs w:val="20"/>
          <w:u w:val="none"/>
        </w:rPr>
        <w:t>городского округа город Шахунья</w:t>
      </w:r>
    </w:p>
    <w:p w:rsidR="0003796D" w:rsidRPr="00CB7BA4" w:rsidRDefault="0003796D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  <w:r w:rsidRPr="00CB7BA4">
        <w:rPr>
          <w:b w:val="0"/>
          <w:sz w:val="20"/>
          <w:szCs w:val="20"/>
          <w:u w:val="none"/>
        </w:rPr>
        <w:t xml:space="preserve"> Нижегородской области  </w:t>
      </w:r>
    </w:p>
    <w:p w:rsidR="0003796D" w:rsidRPr="00CB7BA4" w:rsidRDefault="0028080A" w:rsidP="0003796D">
      <w:pPr>
        <w:pStyle w:val="a3"/>
        <w:widowControl w:val="0"/>
        <w:jc w:val="righ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№36-2</w:t>
      </w:r>
      <w:r w:rsidR="0003796D" w:rsidRPr="00CB7BA4">
        <w:rPr>
          <w:b w:val="0"/>
          <w:sz w:val="20"/>
          <w:szCs w:val="20"/>
          <w:u w:val="none"/>
        </w:rPr>
        <w:t xml:space="preserve"> от</w:t>
      </w:r>
      <w:r>
        <w:rPr>
          <w:b w:val="0"/>
          <w:sz w:val="20"/>
          <w:szCs w:val="20"/>
          <w:u w:val="none"/>
        </w:rPr>
        <w:t xml:space="preserve"> 31 января </w:t>
      </w:r>
      <w:r w:rsidR="0003796D" w:rsidRPr="00CB7BA4">
        <w:rPr>
          <w:b w:val="0"/>
          <w:sz w:val="20"/>
          <w:szCs w:val="20"/>
          <w:u w:val="none"/>
        </w:rPr>
        <w:t>2020 г.</w:t>
      </w:r>
    </w:p>
    <w:p w:rsidR="0003796D" w:rsidRDefault="0003796D" w:rsidP="00037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6D" w:rsidRPr="00CB7BA4" w:rsidRDefault="0003796D" w:rsidP="00037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3796D" w:rsidRPr="00CB7BA4" w:rsidRDefault="0003796D" w:rsidP="00037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41264" w:rsidRPr="00CB7BA4">
        <w:rPr>
          <w:rFonts w:ascii="Times New Roman" w:hAnsi="Times New Roman" w:cs="Times New Roman"/>
          <w:b/>
          <w:sz w:val="24"/>
          <w:szCs w:val="24"/>
        </w:rPr>
        <w:t>работе</w:t>
      </w:r>
      <w:r w:rsidRPr="00CB7BA4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комиссии Совета депутатов </w:t>
      </w:r>
    </w:p>
    <w:p w:rsidR="0003796D" w:rsidRPr="00CB7BA4" w:rsidRDefault="0003796D" w:rsidP="00037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4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 Нижегородской области за 2019 год</w:t>
      </w:r>
    </w:p>
    <w:p w:rsidR="003C48CC" w:rsidRPr="00CB7BA4" w:rsidRDefault="003C48CC" w:rsidP="003C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CC" w:rsidRPr="00CB7BA4" w:rsidRDefault="003C48CC" w:rsidP="006D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22" w:rsidRPr="00CB7BA4" w:rsidRDefault="00FC0D3C" w:rsidP="00FC0D3C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</w:t>
      </w:r>
      <w:r w:rsidR="003F660E" w:rsidRPr="00CB7BA4">
        <w:rPr>
          <w:rFonts w:ascii="Times New Roman" w:hAnsi="Times New Roman" w:cs="Times New Roman"/>
          <w:sz w:val="24"/>
          <w:szCs w:val="24"/>
        </w:rPr>
        <w:t xml:space="preserve">      </w:t>
      </w:r>
      <w:r w:rsidR="006D0C22" w:rsidRPr="00CB7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C22" w:rsidRPr="00CB7BA4">
        <w:rPr>
          <w:rFonts w:ascii="Times New Roman" w:hAnsi="Times New Roman" w:cs="Times New Roman"/>
          <w:sz w:val="24"/>
          <w:szCs w:val="24"/>
        </w:rPr>
        <w:t>Настоящий отчёт подготовлен в соответствии с требованиями</w:t>
      </w:r>
      <w:r w:rsidR="003F660E" w:rsidRPr="00CB7BA4">
        <w:rPr>
          <w:rFonts w:ascii="Times New Roman" w:hAnsi="Times New Roman" w:cs="Times New Roman"/>
          <w:sz w:val="24"/>
          <w:szCs w:val="24"/>
        </w:rPr>
        <w:t xml:space="preserve"> </w:t>
      </w:r>
      <w:r w:rsidR="006D0C22" w:rsidRPr="00CB7BA4">
        <w:rPr>
          <w:rFonts w:ascii="Times New Roman" w:hAnsi="Times New Roman" w:cs="Times New Roman"/>
          <w:sz w:val="24"/>
          <w:szCs w:val="24"/>
        </w:rPr>
        <w:t>статьи 19 Федерального закона 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образований», ст</w:t>
      </w:r>
      <w:r w:rsidRPr="00CB7BA4">
        <w:rPr>
          <w:rFonts w:ascii="Times New Roman" w:hAnsi="Times New Roman" w:cs="Times New Roman"/>
          <w:sz w:val="24"/>
          <w:szCs w:val="24"/>
        </w:rPr>
        <w:t>атьи 18</w:t>
      </w:r>
      <w:r w:rsidR="006D0C22" w:rsidRPr="00CB7BA4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 комиссии, утвержденного </w:t>
      </w:r>
      <w:bookmarkStart w:id="0" w:name="_GoBack"/>
      <w:r w:rsidR="006D0C22" w:rsidRPr="00CB7BA4">
        <w:rPr>
          <w:rFonts w:ascii="Times New Roman" w:hAnsi="Times New Roman" w:cs="Times New Roman"/>
          <w:sz w:val="24"/>
          <w:szCs w:val="24"/>
        </w:rPr>
        <w:t>р</w:t>
      </w:r>
      <w:bookmarkEnd w:id="0"/>
      <w:r w:rsidR="006D0C22" w:rsidRPr="00CB7BA4">
        <w:rPr>
          <w:rFonts w:ascii="Times New Roman" w:hAnsi="Times New Roman" w:cs="Times New Roman"/>
          <w:sz w:val="24"/>
          <w:szCs w:val="24"/>
        </w:rPr>
        <w:t>ешением   Совета депутатов городского округа город Шахунья  от 27.12.2012г. № 12-9,  и содержит общую характеристику результатов проведенных контрольных и экспертно-аналитических мероприятий.</w:t>
      </w:r>
      <w:proofErr w:type="gramEnd"/>
    </w:p>
    <w:p w:rsidR="00FC0D3C" w:rsidRPr="00CB7BA4" w:rsidRDefault="00FC0D3C" w:rsidP="00FC0D3C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37B" w:rsidRPr="00CB7BA4" w:rsidRDefault="0089537B" w:rsidP="008953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A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9537B" w:rsidRPr="00CB7BA4" w:rsidRDefault="0089537B" w:rsidP="00F22F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  Контрольно-счетная комиссия является постоянно действующим органом внешнего муниципального контроля, формируемым Советом депутатов городского округа и ему подотчетным.</w:t>
      </w:r>
    </w:p>
    <w:p w:rsidR="0089537B" w:rsidRPr="00CB7BA4" w:rsidRDefault="00F22FB6" w:rsidP="00F22F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 Контрольно-счетная комиссия осуществляет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гласности, соблюдения профессиональной этики.</w:t>
      </w:r>
    </w:p>
    <w:p w:rsidR="00F22FB6" w:rsidRPr="00CB7BA4" w:rsidRDefault="00F22FB6" w:rsidP="008953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В процессе реализации полномочий контрольно-счетная комиссия осуществляет экспертно-аналитическую, контрольную, информационную и иные виды деятельности, обеспечивает единую систему </w:t>
      </w:r>
      <w:proofErr w:type="gramStart"/>
      <w:r w:rsidRPr="00CB7BA4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CB7BA4">
        <w:rPr>
          <w:rFonts w:ascii="Times New Roman" w:hAnsi="Times New Roman" w:cs="Times New Roman"/>
          <w:bCs/>
          <w:sz w:val="24"/>
          <w:szCs w:val="24"/>
        </w:rPr>
        <w:t xml:space="preserve"> исполнением бюджета городского округа город Шахунья.</w:t>
      </w:r>
    </w:p>
    <w:p w:rsidR="00F22FB6" w:rsidRPr="00CB7BA4" w:rsidRDefault="00F22FB6" w:rsidP="00F22F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A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итоги деятельности </w:t>
      </w:r>
    </w:p>
    <w:p w:rsidR="00FC0B4B" w:rsidRPr="00CB7BA4" w:rsidRDefault="00F22FB6" w:rsidP="00FC0B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C0B4B" w:rsidRPr="00CB7BA4">
        <w:rPr>
          <w:rFonts w:ascii="Times New Roman" w:hAnsi="Times New Roman" w:cs="Times New Roman"/>
          <w:bCs/>
          <w:sz w:val="24"/>
          <w:szCs w:val="24"/>
        </w:rPr>
        <w:t>Деятельность контрольно-счетной комиссии в 2019 году осуществлялась в рамках, возложенных на нее действующим законодательством задач и предоставленных полномочий.</w:t>
      </w:r>
    </w:p>
    <w:p w:rsidR="00F22FB6" w:rsidRPr="00CB7BA4" w:rsidRDefault="00FC0B4B" w:rsidP="00FC0B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Экспертно-аналитическая, контрольная и иные виды деятельности контрольно-счетной комиссии в отчетном периоде осуществлялись в соответствии с планом работы, сформированным с учетом предложений Главы местного самоуправления городского округа и Сове</w:t>
      </w:r>
      <w:r w:rsidR="00472F63" w:rsidRPr="00CB7BA4">
        <w:rPr>
          <w:rFonts w:ascii="Times New Roman" w:hAnsi="Times New Roman" w:cs="Times New Roman"/>
          <w:bCs/>
          <w:sz w:val="24"/>
          <w:szCs w:val="24"/>
        </w:rPr>
        <w:t>та депутатов городского округа</w:t>
      </w:r>
      <w:r w:rsidRPr="00CB7BA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2F63" w:rsidRPr="00CB7BA4" w:rsidRDefault="00472F63" w:rsidP="00FC0B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Задачи, определенные планом работы контрольно-счетной комиссии на 2019 год, выполнены в полном объеме.</w:t>
      </w:r>
    </w:p>
    <w:p w:rsidR="00472F63" w:rsidRPr="00CB7BA4" w:rsidRDefault="00472F63" w:rsidP="00FC0B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72F63" w:rsidRPr="00CB7BA4" w:rsidRDefault="00472F63" w:rsidP="00472F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A4">
        <w:rPr>
          <w:rFonts w:ascii="Times New Roman" w:hAnsi="Times New Roman" w:cs="Times New Roman"/>
          <w:b/>
          <w:bCs/>
          <w:sz w:val="24"/>
          <w:szCs w:val="24"/>
        </w:rPr>
        <w:t>Контрольная деятельность</w:t>
      </w:r>
    </w:p>
    <w:p w:rsidR="00472F63" w:rsidRPr="00CB7BA4" w:rsidRDefault="00472F63" w:rsidP="00472F6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F63" w:rsidRPr="00CB7BA4" w:rsidRDefault="00472F63" w:rsidP="005A5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 В соответствии с утвержденным планом работы  в 2019 году контрольно-счетной комиссией проведено 10 контрольных мероприятий</w:t>
      </w:r>
      <w:r w:rsidR="000E4721" w:rsidRPr="00CB7BA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0E4721" w:rsidRPr="00CB7BA4" w:rsidRDefault="000E4721" w:rsidP="005A5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Pr="00CB7BA4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администраторов бюджетных</w:t>
      </w: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средств</w:t>
      </w:r>
      <w:r w:rsidR="005A5264" w:rsidRPr="00CB7BA4">
        <w:rPr>
          <w:rFonts w:ascii="Times New Roman" w:hAnsi="Times New Roman" w:cs="Times New Roman"/>
          <w:bCs/>
          <w:sz w:val="24"/>
          <w:szCs w:val="24"/>
        </w:rPr>
        <w:t xml:space="preserve"> за 2018 год</w:t>
      </w: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(проверено 6 главных администраторов бюджетных средств);</w:t>
      </w:r>
    </w:p>
    <w:p w:rsidR="005A5264" w:rsidRPr="00CB7BA4" w:rsidRDefault="000E4721" w:rsidP="005A5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A5264" w:rsidRPr="00CB7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A5264" w:rsidRPr="00CB7BA4">
        <w:rPr>
          <w:rFonts w:ascii="Times New Roman" w:hAnsi="Times New Roman" w:cs="Times New Roman"/>
          <w:color w:val="000000"/>
          <w:sz w:val="24"/>
          <w:szCs w:val="24"/>
        </w:rPr>
        <w:t>проверка исполнения бюджетных полномочий главного распорядителя бюджетных сре</w:t>
      </w:r>
      <w:proofErr w:type="gramStart"/>
      <w:r w:rsidR="005A5264" w:rsidRPr="00CB7BA4">
        <w:rPr>
          <w:rFonts w:ascii="Times New Roman" w:hAnsi="Times New Roman" w:cs="Times New Roman"/>
          <w:color w:val="000000"/>
          <w:sz w:val="24"/>
          <w:szCs w:val="24"/>
        </w:rPr>
        <w:t>дств в ч</w:t>
      </w:r>
      <w:proofErr w:type="gramEnd"/>
      <w:r w:rsidR="005A5264"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асти распределения бюджетных ассигнований и лимитов бюджетных </w:t>
      </w:r>
      <w:r w:rsidR="005A5264" w:rsidRPr="00CB7B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 по подведомственным распорядителям и получателям бюджетных средств, а также их изменению в течение 2018 года;</w:t>
      </w:r>
    </w:p>
    <w:p w:rsidR="005A5264" w:rsidRPr="00CB7BA4" w:rsidRDefault="00B33194" w:rsidP="005A5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      - </w:t>
      </w:r>
      <w:r w:rsidR="005A5264" w:rsidRPr="00CB7BA4">
        <w:rPr>
          <w:rFonts w:ascii="Times New Roman" w:hAnsi="Times New Roman" w:cs="Times New Roman"/>
          <w:color w:val="000000"/>
          <w:sz w:val="24"/>
          <w:szCs w:val="24"/>
        </w:rPr>
        <w:t>проверка законности и эффективности расходования средств местного бюджета, направленных в 2017-2018 годах на проведение мероприятий в рамках муниципальной программы «Развитие агропромышленного комплекса городского округа город Шахунья Нижегородской области»;</w:t>
      </w:r>
    </w:p>
    <w:p w:rsidR="005A5264" w:rsidRPr="00CB7BA4" w:rsidRDefault="005A5264" w:rsidP="005A5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05D3D"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194"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законности и результативности использования бюджетных средств, направленных на проведение мероприятий по благоустройству дворовых территорий городского округа город Шахунья в 2018 году, в рамках  муниципальной программы  «Формирование комфортной среды городского округа город Шахунья Нижегородской области»;</w:t>
      </w:r>
    </w:p>
    <w:p w:rsidR="005A5264" w:rsidRPr="00CB7BA4" w:rsidRDefault="005A5264" w:rsidP="005A5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33194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B33194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</w:rPr>
        <w:t>проверка формирования штатных расписаний муниципальных бюджетных учреждений культуры (библиотеки) в рамках  МП «Развитие культуры в городском округе город Шахунья Нижегородской области» по подпрограмме  «Развитие библиотечного дела в городском округе город Шахунья».</w:t>
      </w:r>
    </w:p>
    <w:p w:rsidR="00434D16" w:rsidRPr="00CB7BA4" w:rsidRDefault="00434D16" w:rsidP="005A5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      Контрольной деятельностью охвачено </w:t>
      </w:r>
      <w:r w:rsidR="007F1E7A" w:rsidRPr="00CB7BA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контроля, из них: </w:t>
      </w:r>
      <w:r w:rsidR="007F1E7A"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6 органов местного самоуправления, 3 муниципальных учреждений. </w:t>
      </w:r>
    </w:p>
    <w:p w:rsidR="00A76CBB" w:rsidRPr="00CB7BA4" w:rsidRDefault="007F1E7A" w:rsidP="00A76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результате проведенных контрольных мероприятий выявлено нарушений на </w:t>
      </w:r>
      <w:r w:rsidR="00E5607E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общую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сумму </w:t>
      </w:r>
      <w:r w:rsidR="00903EC7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43209,6</w:t>
      </w:r>
      <w:r w:rsidR="00906F7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рублей</w:t>
      </w:r>
      <w:r w:rsidR="0080620F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Основные виды нарушений</w:t>
      </w:r>
      <w:r w:rsidR="00A76CB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</w:t>
      </w:r>
      <w:r w:rsidR="0080620F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6CB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6CBB" w:rsidRPr="00CB7BA4">
        <w:rPr>
          <w:rFonts w:ascii="Times New Roman" w:hAnsi="Times New Roman" w:cs="Times New Roman"/>
          <w:sz w:val="24"/>
          <w:szCs w:val="24"/>
        </w:rPr>
        <w:t>Классификатором нарушений, выявляемых в ходе внешнего государственного аудита (контроля), одобренным  Советом контрольно-счетных органов при Счетной палате  Российской Федерации:</w:t>
      </w:r>
      <w:r w:rsidR="00847E56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3ACC" w:rsidRPr="00CB7BA4" w:rsidRDefault="00847E56" w:rsidP="00A76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76CB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53ACC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53ACC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при формировании и исполнении бюджета в сумме </w:t>
      </w:r>
      <w:r w:rsidR="00903EC7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42874,3</w:t>
      </w:r>
      <w:r w:rsidR="00D53ACC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рублей: </w:t>
      </w:r>
    </w:p>
    <w:p w:rsidR="00D53ACC" w:rsidRPr="00CB7BA4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нарушении</w:t>
      </w:r>
      <w:r w:rsidR="009A2D44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2425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</w:t>
      </w:r>
      <w:r w:rsidR="009A2D44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302425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161, стать</w:t>
      </w:r>
      <w:r w:rsidR="009A2D44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02425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221 </w:t>
      </w:r>
      <w:r w:rsidR="00DF7BC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БК РФ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Приказ</w:t>
      </w:r>
      <w:r w:rsidR="009A2D44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Минфина России от 20.11.2007 № 112н, Постановлени</w:t>
      </w:r>
      <w:r w:rsidR="009A2D44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г.о.г</w:t>
      </w:r>
      <w:proofErr w:type="gramStart"/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ахунья</w:t>
      </w:r>
      <w:proofErr w:type="spellEnd"/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21.12.2017 № 1755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течении отчетного периода главными распорядителями бюджетных средств проверяемых учреждений не осуществлялось внесение изменений в бюджетную смету - в сумме 41450,2 тыс. рублей</w:t>
      </w:r>
      <w:r w:rsidR="00302425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13B62" w:rsidRPr="00CB7BA4" w:rsidRDefault="00302425" w:rsidP="00E13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0062D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278B9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0062D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</w:t>
      </w:r>
      <w:r w:rsidR="00DF7BC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F7BC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</w:t>
      </w:r>
      <w:r w:rsidR="00DF7BC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BC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 БК РФ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Постановлени</w:t>
      </w:r>
      <w:r w:rsidR="00DF7BC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г.о.г</w:t>
      </w:r>
      <w:proofErr w:type="spellEnd"/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Шахунья от 06.02.2017 № 167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соблюдены  условия порядка предоставления субсидий из местного бюджета  </w:t>
      </w:r>
      <w:r w:rsidR="00903EC7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юридическому лицу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сумме 656,1 тыс. рублей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13B62" w:rsidRPr="00CB7BA4" w:rsidRDefault="00E13B62" w:rsidP="00E1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0062D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34157B" w:rsidRPr="00CB7BA4">
        <w:rPr>
          <w:rFonts w:ascii="Times New Roman" w:hAnsi="Times New Roman" w:cs="Times New Roman"/>
          <w:sz w:val="24"/>
          <w:szCs w:val="24"/>
        </w:rPr>
        <w:t xml:space="preserve">в </w:t>
      </w:r>
      <w:r w:rsidR="00E56CC6" w:rsidRPr="00CB7BA4">
        <w:rPr>
          <w:rFonts w:ascii="Times New Roman" w:hAnsi="Times New Roman" w:cs="Times New Roman"/>
          <w:sz w:val="24"/>
          <w:szCs w:val="24"/>
        </w:rPr>
        <w:t xml:space="preserve"> </w:t>
      </w:r>
      <w:r w:rsidR="0034157B" w:rsidRPr="00CB7BA4">
        <w:rPr>
          <w:rFonts w:ascii="Times New Roman" w:hAnsi="Times New Roman" w:cs="Times New Roman"/>
          <w:sz w:val="24"/>
          <w:szCs w:val="24"/>
        </w:rPr>
        <w:t>нарушении ст</w:t>
      </w:r>
      <w:r w:rsidR="00E56CC6" w:rsidRPr="00CB7BA4">
        <w:rPr>
          <w:rFonts w:ascii="Times New Roman" w:hAnsi="Times New Roman" w:cs="Times New Roman"/>
          <w:sz w:val="24"/>
          <w:szCs w:val="24"/>
        </w:rPr>
        <w:t>атьи</w:t>
      </w:r>
      <w:r w:rsidR="0034157B" w:rsidRPr="00CB7BA4">
        <w:rPr>
          <w:rFonts w:ascii="Times New Roman" w:hAnsi="Times New Roman" w:cs="Times New Roman"/>
          <w:sz w:val="24"/>
          <w:szCs w:val="24"/>
        </w:rPr>
        <w:t xml:space="preserve"> 139 БК РФ,  условий предоставления субсидий, установленных п. 2.6 Постановления Правительства Нижегородской области от 01.09.2017 № 651</w:t>
      </w:r>
      <w:r w:rsidR="006567D5" w:rsidRPr="00CB7BA4">
        <w:rPr>
          <w:rFonts w:ascii="Times New Roman" w:hAnsi="Times New Roman" w:cs="Times New Roman"/>
          <w:sz w:val="24"/>
          <w:szCs w:val="24"/>
        </w:rPr>
        <w:t xml:space="preserve"> в первоначальном бюджете городского округа не обеспечена </w:t>
      </w:r>
      <w:r w:rsidR="0034157B" w:rsidRPr="00CB7BA4">
        <w:rPr>
          <w:rFonts w:ascii="Times New Roman" w:hAnsi="Times New Roman" w:cs="Times New Roman"/>
          <w:sz w:val="24"/>
          <w:szCs w:val="24"/>
        </w:rPr>
        <w:t xml:space="preserve">доля местного бюджета </w:t>
      </w:r>
      <w:r w:rsidR="00E56CC6" w:rsidRPr="00CB7BA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4157B" w:rsidRPr="00CB7BA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4157B" w:rsidRPr="00CB7BA4">
        <w:rPr>
          <w:rFonts w:ascii="Times New Roman" w:hAnsi="Times New Roman" w:cs="Times New Roman"/>
          <w:sz w:val="24"/>
          <w:szCs w:val="24"/>
        </w:rPr>
        <w:t xml:space="preserve">  мероприятий  </w:t>
      </w:r>
      <w:r w:rsidR="0034157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благоустройству дворовых территорий </w:t>
      </w:r>
      <w:r w:rsidR="00E56CC6" w:rsidRPr="00CB7BA4"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903EC7" w:rsidRPr="00CB7BA4">
        <w:rPr>
          <w:rFonts w:ascii="Times New Roman" w:hAnsi="Times New Roman" w:cs="Times New Roman"/>
          <w:sz w:val="24"/>
          <w:szCs w:val="24"/>
        </w:rPr>
        <w:t>739,2</w:t>
      </w:r>
      <w:r w:rsidR="00E56CC6" w:rsidRPr="00CB7BA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3B62" w:rsidRPr="00CB7BA4" w:rsidRDefault="00E13B62" w:rsidP="00E1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0062D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56CC6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56CC6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6CC6" w:rsidRPr="00CB7BA4">
        <w:rPr>
          <w:rFonts w:ascii="Times New Roman" w:hAnsi="Times New Roman" w:cs="Times New Roman"/>
          <w:sz w:val="24"/>
          <w:szCs w:val="24"/>
        </w:rPr>
        <w:t xml:space="preserve">в нарушении статьи 179 БК РФ, </w:t>
      </w:r>
      <w:r w:rsidR="00E56CC6" w:rsidRPr="00CB7BA4"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городского округа от 17.06.2014 №</w:t>
      </w:r>
      <w:r w:rsidR="00260563" w:rsidRPr="00CB7BA4">
        <w:rPr>
          <w:rFonts w:ascii="Times New Roman" w:hAnsi="Times New Roman" w:cs="Times New Roman"/>
          <w:color w:val="000000"/>
          <w:sz w:val="24"/>
          <w:szCs w:val="24"/>
        </w:rPr>
        <w:t xml:space="preserve"> 537 (в редакции от 12.04.2017)</w:t>
      </w:r>
      <w:r w:rsidR="00E56CC6" w:rsidRPr="00CB7BA4">
        <w:rPr>
          <w:rFonts w:ascii="Times New Roman" w:hAnsi="Times New Roman" w:cs="Times New Roman"/>
          <w:sz w:val="24"/>
          <w:szCs w:val="24"/>
        </w:rPr>
        <w:t xml:space="preserve"> размеры финансового обеспечения муниципальной программы </w:t>
      </w:r>
      <w:r w:rsidR="00E56CC6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«Формирование комфортной среды городского округа город Шахунья Нижегородской области» </w:t>
      </w:r>
      <w:r w:rsidR="00E56CC6" w:rsidRPr="00CB7BA4">
        <w:rPr>
          <w:rFonts w:ascii="Times New Roman" w:hAnsi="Times New Roman" w:cs="Times New Roman"/>
          <w:sz w:val="24"/>
          <w:szCs w:val="24"/>
        </w:rPr>
        <w:t xml:space="preserve">в части реализации мероприятий по благоустройству дворовых территорий не соответствуют утвержденным показателям бюджета городского округа - 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сумме 28,8 тыс. рублей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E13B62" w:rsidRPr="00CB7BA4" w:rsidRDefault="0070062D" w:rsidP="00E13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8B9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2. </w:t>
      </w:r>
      <w:r w:rsidR="00E13B6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 ведения бухгалтерского учета, составления и предоставления бухгалтерской (финансовой) отчетности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606DB" w:rsidRPr="00CB7BA4" w:rsidRDefault="0070062D" w:rsidP="00D60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 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нарушении 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Федерального закона от 06.12.2011 № 402-ФЗ, пункт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606D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 Приказа Минфина от 01.12.2010 №157-н</w:t>
      </w:r>
      <w:r w:rsidR="00324122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70C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учтены </w:t>
      </w:r>
      <w:r w:rsidR="0076319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элементы благоустройства </w:t>
      </w:r>
      <w:r w:rsidR="00480FB6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A770C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сумме 335,3 тыс. рублей.</w:t>
      </w:r>
    </w:p>
    <w:p w:rsidR="0076319B" w:rsidRPr="00CB7BA4" w:rsidRDefault="00A76CBB" w:rsidP="00D60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278B9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096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8B9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 провер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яемых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контрольно-счетной комиссией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направлялись п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редставления, рекомендации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принятия мер по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устранению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выявленны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687C88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замечаний и привлечению к ответственности лиц, виновных в допущенных нарушениях.</w:t>
      </w:r>
    </w:p>
    <w:p w:rsidR="00687C88" w:rsidRPr="00CB7BA4" w:rsidRDefault="00687C88" w:rsidP="00D60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278B9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096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8B9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096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материалам контрольных мероприятий устранено финансовых нарушений на сумму </w:t>
      </w:r>
      <w:r w:rsidR="003F660E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5551,4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рублей, привлечено к дисциплинарной ответственности  1 должностное лицо.</w:t>
      </w:r>
    </w:p>
    <w:p w:rsidR="00A278B9" w:rsidRPr="00CB7BA4" w:rsidRDefault="00A278B9" w:rsidP="00D60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r w:rsidR="00D3096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результаты контрольных мероприятий, проведенных контрольно-счетной комиссией в отчетном периоде, направлялись Главе местного самоуправления, Председателю Совета депутатов городского округа.</w:t>
      </w:r>
    </w:p>
    <w:p w:rsidR="00A278B9" w:rsidRPr="00CB7BA4" w:rsidRDefault="00A278B9" w:rsidP="00A278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3096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заключенным Соглашением о сотрудничестве</w:t>
      </w:r>
      <w:r w:rsidR="00D30960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одного контрольного мероприятия направлены в адрес </w:t>
      </w:r>
      <w:proofErr w:type="spellStart"/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Шахунской</w:t>
      </w:r>
      <w:proofErr w:type="spellEnd"/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прокуратуры.</w:t>
      </w:r>
    </w:p>
    <w:p w:rsidR="00A278B9" w:rsidRPr="00CB7BA4" w:rsidRDefault="00B8165B" w:rsidP="00D606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0C3971" w:rsidRPr="00CB7BA4" w:rsidRDefault="000C3971" w:rsidP="000C3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Экспертно-аналитическая деятельность</w:t>
      </w:r>
    </w:p>
    <w:p w:rsidR="000C3971" w:rsidRPr="00CB7BA4" w:rsidRDefault="000C3971" w:rsidP="000C39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0960" w:rsidRPr="00CB7BA4" w:rsidRDefault="00D30960" w:rsidP="000C3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Контрольно-счетной комиссией в течение 2019 года проведено 13 экспертно-аналитических мероприятий.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157 БК РФ и главой 23 Положения о бюджетном процессе в городском округе город Шахунья,  в рамках предварительного контроля проведена экспертиза и подготовлено заключение на проект решения Совета депутатов «О бюджете городского округа город Шахунья на 2020 и на плановый период 2021-2022 годов».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264.4 БК РФ и главой 32 Положения о бюджетном процессе в городском округе город Шахунья,  в рамках последующего контроля проведена экспертиза и подготовлено заключение на проект решения Совета депутатов «Об исполнении бюджета городского округа город Шахунья за 2018 год».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 При проведении экспертизы контрольно-счетной комиссией рассматривались вопросы соответствия проектов решений  требованиям бюджетного законодательства.  Проведен анализ доходной и расходной части бюджета городского округа, муниципальных программ, дефицита бюджета, муниципального долга. 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По результатам финансово-экономической экспертизы Проектов бюджета сделаны выводы и внесены соответствующие предложения.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В рамках текущего контроля за исполнением бюджета контрольно-счетной комиссией проведены мероприятия, позволяющие осуществить оценку </w:t>
      </w:r>
      <w:proofErr w:type="gramStart"/>
      <w:r w:rsidRPr="00CB7BA4">
        <w:rPr>
          <w:rFonts w:ascii="Times New Roman" w:hAnsi="Times New Roman" w:cs="Times New Roman"/>
          <w:sz w:val="24"/>
          <w:szCs w:val="24"/>
        </w:rPr>
        <w:t>исполнения решений Совета депутатов городского округа</w:t>
      </w:r>
      <w:proofErr w:type="gramEnd"/>
      <w:r w:rsidRPr="00CB7BA4">
        <w:rPr>
          <w:rFonts w:ascii="Times New Roman" w:hAnsi="Times New Roman" w:cs="Times New Roman"/>
          <w:sz w:val="24"/>
          <w:szCs w:val="24"/>
        </w:rPr>
        <w:t xml:space="preserve"> о бюджете на 2019 год. 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С этой целью подготовлена информация на отчеты администрации городского округа  об исполнении бюджета  за 1 квартал, 1-ое  полугодие и 9 месяцев 2019 года.  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Одним из направлений экспертно-аналитической деятельности контрольно-счетной комиссии в 2019 году являлась экспертиза и подготовка информации на проекты решений Совета депутатов «О внесении изменений в решение о бюджете городского округа город Шахунья на 2019 и на плановый период 2020-2021 годов».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  В течение 2019 года изменения и дополнения в бюджет городского округа вносились 8 раз и были связаны с корректировкой планируемых налоговых и неналоговых доходов с учетом уровня их собираемости, корректировками объемов безвозмездных поступлений от других бюджетов бюджетной системы РФ, а также перераспределением бюджетных ассигнований.    </w:t>
      </w:r>
    </w:p>
    <w:p w:rsidR="00D30960" w:rsidRPr="00CB7BA4" w:rsidRDefault="00D30960" w:rsidP="00D3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 Основным недостатком данного процесса является низкое качество подготовки финансово-экономического обоснования вносимых изменений в бюджет городского округа и представление материалов с минимально короткими сроками для подготовки заключения.</w:t>
      </w:r>
    </w:p>
    <w:p w:rsidR="0016299C" w:rsidRPr="00CB7BA4" w:rsidRDefault="00D5384C" w:rsidP="00D5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A4">
        <w:rPr>
          <w:rFonts w:ascii="Times New Roman" w:hAnsi="Times New Roman" w:cs="Times New Roman"/>
          <w:sz w:val="24"/>
          <w:szCs w:val="24"/>
        </w:rPr>
        <w:t xml:space="preserve">        Информация  по результатам проведенных контрольно-счетной комиссией экспертно-аналитических мероприятий направлялись Главе муниципального образования, в Совет депутатов городского округа, в </w:t>
      </w:r>
      <w:proofErr w:type="spellStart"/>
      <w:r w:rsidRPr="00CB7BA4">
        <w:rPr>
          <w:rFonts w:ascii="Times New Roman" w:hAnsi="Times New Roman" w:cs="Times New Roman"/>
          <w:sz w:val="24"/>
          <w:szCs w:val="24"/>
        </w:rPr>
        <w:t>Шахунскую</w:t>
      </w:r>
      <w:proofErr w:type="spellEnd"/>
      <w:r w:rsidRPr="00CB7BA4">
        <w:rPr>
          <w:rFonts w:ascii="Times New Roman" w:hAnsi="Times New Roman" w:cs="Times New Roman"/>
          <w:sz w:val="24"/>
          <w:szCs w:val="24"/>
        </w:rPr>
        <w:t xml:space="preserve"> городскую прокуратуру.</w:t>
      </w:r>
    </w:p>
    <w:p w:rsidR="0016299C" w:rsidRPr="00CB7BA4" w:rsidRDefault="0016299C" w:rsidP="00D5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5F" w:rsidRPr="00CB7BA4" w:rsidRDefault="00995D9B" w:rsidP="00D303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35F" w:rsidRPr="00CB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A4">
        <w:rPr>
          <w:rFonts w:ascii="Times New Roman" w:hAnsi="Times New Roman" w:cs="Times New Roman"/>
          <w:b/>
          <w:sz w:val="24"/>
          <w:szCs w:val="24"/>
        </w:rPr>
        <w:t>М</w:t>
      </w:r>
      <w:r w:rsidR="00D3035F" w:rsidRPr="00CB7BA4">
        <w:rPr>
          <w:rFonts w:ascii="Times New Roman" w:hAnsi="Times New Roman" w:cs="Times New Roman"/>
          <w:b/>
          <w:sz w:val="24"/>
          <w:szCs w:val="24"/>
        </w:rPr>
        <w:t>етод</w:t>
      </w:r>
      <w:r w:rsidRPr="00CB7BA4">
        <w:rPr>
          <w:rFonts w:ascii="Times New Roman" w:hAnsi="Times New Roman" w:cs="Times New Roman"/>
          <w:b/>
          <w:sz w:val="24"/>
          <w:szCs w:val="24"/>
        </w:rPr>
        <w:t>ологическая, организационная</w:t>
      </w:r>
      <w:r w:rsidR="00D3035F" w:rsidRPr="00CB7BA4">
        <w:rPr>
          <w:rFonts w:ascii="Times New Roman" w:hAnsi="Times New Roman" w:cs="Times New Roman"/>
          <w:b/>
          <w:sz w:val="24"/>
          <w:szCs w:val="24"/>
        </w:rPr>
        <w:t xml:space="preserve"> и иная деятельность</w:t>
      </w:r>
    </w:p>
    <w:p w:rsidR="000C3971" w:rsidRPr="00CB7BA4" w:rsidRDefault="000C3971" w:rsidP="00D309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4699" w:rsidRPr="00CB7BA4" w:rsidRDefault="00E04699" w:rsidP="00D3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С целью практического использования при анализе и формировании документов, отвечающих действующему законодательству, в 2019 году контрольно-счетной комиссией изучались актуальные нормативные акты и опыт других контрольно-счетных органов  Российской Федерации, в том числе контрольно-счетных органов </w:t>
      </w:r>
      <w:r w:rsidR="00995D9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Нижегородской области.</w:t>
      </w:r>
    </w:p>
    <w:p w:rsidR="00995D9B" w:rsidRPr="00CB7BA4" w:rsidRDefault="00995D9B" w:rsidP="00D3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В целях реализации принципа гласности на странице официального сайта администрации городского округа город Шахунья в сети Интернет размещена информация о контрольно-счетной  комиссии, приведена нормативно - правовая база.</w:t>
      </w:r>
    </w:p>
    <w:p w:rsidR="008B3464" w:rsidRPr="00CB7BA4" w:rsidRDefault="008B3464" w:rsidP="00D3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30475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95D9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0475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отчетном периоде на регулярной основе осуществлялось взаимодействие с представительной и исполнительной властью </w:t>
      </w:r>
      <w:r w:rsidR="00030475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город Шахунья.</w:t>
      </w:r>
    </w:p>
    <w:p w:rsidR="00030475" w:rsidRPr="00CB7BA4" w:rsidRDefault="00030475" w:rsidP="00D3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95D9B"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контрольно-счетной комиссии является членом муниципальной комиссии по координации работы по противодействию коррупции в городском округе город Шахунья.</w:t>
      </w:r>
    </w:p>
    <w:p w:rsidR="00030475" w:rsidRPr="00CB7BA4" w:rsidRDefault="00030475" w:rsidP="00D3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На постоянной основе осуществляется сотрудничество с контрольно-счетной палатой Нижегородской области.</w:t>
      </w:r>
    </w:p>
    <w:p w:rsidR="00030475" w:rsidRPr="00CB7BA4" w:rsidRDefault="00030475" w:rsidP="00030475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B7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B7BA4">
        <w:rPr>
          <w:rFonts w:ascii="Times New Roman" w:hAnsi="Times New Roman"/>
          <w:sz w:val="24"/>
          <w:szCs w:val="24"/>
        </w:rPr>
        <w:t xml:space="preserve">  В целях расширения взаимодействия с муниципальными контрольно-счетными органами с 2010 года контрольно-счетная комиссия является членом Союза муниципальных контрольно-счетных органов Российской Федерации.</w:t>
      </w:r>
    </w:p>
    <w:p w:rsidR="00030475" w:rsidRPr="00CB7BA4" w:rsidRDefault="00030475" w:rsidP="00030475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B7BA4">
        <w:rPr>
          <w:rFonts w:ascii="Times New Roman" w:hAnsi="Times New Roman"/>
          <w:sz w:val="24"/>
          <w:szCs w:val="24"/>
        </w:rPr>
        <w:t xml:space="preserve">      </w:t>
      </w:r>
      <w:r w:rsidR="004A63D2" w:rsidRPr="00CB7BA4">
        <w:rPr>
          <w:rFonts w:ascii="Times New Roman" w:hAnsi="Times New Roman"/>
          <w:sz w:val="24"/>
          <w:szCs w:val="24"/>
        </w:rPr>
        <w:t xml:space="preserve"> </w:t>
      </w:r>
      <w:r w:rsidR="00DB33C0" w:rsidRPr="00CB7BA4">
        <w:rPr>
          <w:rFonts w:ascii="Times New Roman" w:hAnsi="Times New Roman"/>
          <w:sz w:val="24"/>
          <w:szCs w:val="24"/>
        </w:rPr>
        <w:t xml:space="preserve">В </w:t>
      </w:r>
      <w:r w:rsidRPr="00CB7BA4">
        <w:rPr>
          <w:rFonts w:ascii="Times New Roman" w:hAnsi="Times New Roman"/>
          <w:sz w:val="24"/>
          <w:szCs w:val="24"/>
        </w:rPr>
        <w:t>201</w:t>
      </w:r>
      <w:r w:rsidR="00E30EFF" w:rsidRPr="00CB7BA4">
        <w:rPr>
          <w:rFonts w:ascii="Times New Roman" w:hAnsi="Times New Roman"/>
          <w:sz w:val="24"/>
          <w:szCs w:val="24"/>
        </w:rPr>
        <w:t>4</w:t>
      </w:r>
      <w:r w:rsidR="00DB33C0" w:rsidRPr="00CB7BA4">
        <w:rPr>
          <w:rFonts w:ascii="Times New Roman" w:hAnsi="Times New Roman"/>
          <w:sz w:val="24"/>
          <w:szCs w:val="24"/>
        </w:rPr>
        <w:t xml:space="preserve"> </w:t>
      </w:r>
      <w:r w:rsidRPr="00CB7BA4">
        <w:rPr>
          <w:rFonts w:ascii="Times New Roman" w:hAnsi="Times New Roman"/>
          <w:sz w:val="24"/>
          <w:szCs w:val="24"/>
        </w:rPr>
        <w:t xml:space="preserve">году между контрольно-счетной комиссией и Управлением Федерального казначейства  заключено соглашение об информационном взаимодействии. Предметом соглашения является обмен информацией при осуществлении </w:t>
      </w:r>
      <w:proofErr w:type="gramStart"/>
      <w:r w:rsidRPr="00CB7BA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B7BA4">
        <w:rPr>
          <w:rFonts w:ascii="Times New Roman" w:hAnsi="Times New Roman"/>
          <w:sz w:val="24"/>
          <w:szCs w:val="24"/>
        </w:rPr>
        <w:t xml:space="preserve"> соблюдением требований бюджетного законодательства.</w:t>
      </w:r>
    </w:p>
    <w:p w:rsidR="004A63D2" w:rsidRPr="00CB7BA4" w:rsidRDefault="00030475" w:rsidP="00995D9B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B7BA4">
        <w:rPr>
          <w:rFonts w:ascii="Times New Roman" w:hAnsi="Times New Roman"/>
          <w:sz w:val="24"/>
          <w:szCs w:val="24"/>
        </w:rPr>
        <w:t xml:space="preserve">      В </w:t>
      </w:r>
      <w:r w:rsidR="004A63D2" w:rsidRPr="00CB7BA4">
        <w:rPr>
          <w:rFonts w:ascii="Times New Roman" w:hAnsi="Times New Roman"/>
          <w:sz w:val="24"/>
          <w:szCs w:val="24"/>
        </w:rPr>
        <w:t xml:space="preserve"> </w:t>
      </w:r>
      <w:r w:rsidR="00E30EFF" w:rsidRPr="00CB7BA4">
        <w:rPr>
          <w:rFonts w:ascii="Times New Roman" w:hAnsi="Times New Roman"/>
          <w:sz w:val="24"/>
          <w:szCs w:val="24"/>
        </w:rPr>
        <w:t xml:space="preserve">2014 году заключено соглашение о сотрудничестве и взаимодействии между </w:t>
      </w:r>
      <w:proofErr w:type="spellStart"/>
      <w:r w:rsidR="00E30EFF" w:rsidRPr="00CB7BA4">
        <w:rPr>
          <w:rFonts w:ascii="Times New Roman" w:hAnsi="Times New Roman"/>
          <w:sz w:val="24"/>
          <w:szCs w:val="24"/>
        </w:rPr>
        <w:t>Шахунской</w:t>
      </w:r>
      <w:proofErr w:type="spellEnd"/>
      <w:r w:rsidR="00E30EFF" w:rsidRPr="00CB7BA4">
        <w:rPr>
          <w:rFonts w:ascii="Times New Roman" w:hAnsi="Times New Roman"/>
          <w:sz w:val="24"/>
          <w:szCs w:val="24"/>
        </w:rPr>
        <w:t xml:space="preserve"> городской прокуратурой и контрольно-счетной комиссией.</w:t>
      </w:r>
      <w:r w:rsidR="004A63D2" w:rsidRPr="00CB7BA4">
        <w:rPr>
          <w:rFonts w:ascii="Times New Roman" w:hAnsi="Times New Roman"/>
          <w:sz w:val="24"/>
          <w:szCs w:val="24"/>
        </w:rPr>
        <w:t xml:space="preserve"> Предметом соглашения является порядок организации и взаимодействие Сторон в сфере предупреждения, выявления и пресечения нарушений бюджетного законодательства.  </w:t>
      </w:r>
    </w:p>
    <w:p w:rsidR="00C85EC4" w:rsidRPr="00CB7BA4" w:rsidRDefault="00C85EC4" w:rsidP="00995D9B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85EC4" w:rsidRPr="00CB7BA4" w:rsidRDefault="00C85EC4" w:rsidP="00C85EC4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B7BA4">
        <w:rPr>
          <w:rFonts w:ascii="Times New Roman" w:hAnsi="Times New Roman"/>
          <w:b/>
          <w:sz w:val="24"/>
          <w:szCs w:val="24"/>
        </w:rPr>
        <w:t xml:space="preserve">Заключительная часть </w:t>
      </w:r>
    </w:p>
    <w:p w:rsidR="00C85EC4" w:rsidRPr="00CB7BA4" w:rsidRDefault="00C85EC4" w:rsidP="00C85EC4">
      <w:pPr>
        <w:pStyle w:val="a7"/>
        <w:tabs>
          <w:tab w:val="left" w:pos="567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1C3013" w:rsidRPr="00CB7BA4" w:rsidRDefault="004A63D2" w:rsidP="001C3013">
      <w:pPr>
        <w:pStyle w:val="a8"/>
        <w:spacing w:after="0"/>
        <w:jc w:val="both"/>
      </w:pPr>
      <w:r w:rsidRPr="00CB7BA4">
        <w:rPr>
          <w:color w:val="000000"/>
          <w:shd w:val="clear" w:color="auto" w:fill="FFFFFF"/>
        </w:rPr>
        <w:t xml:space="preserve">  </w:t>
      </w:r>
      <w:r w:rsidR="001E6132" w:rsidRPr="00CB7BA4">
        <w:rPr>
          <w:color w:val="000000"/>
          <w:shd w:val="clear" w:color="auto" w:fill="FFFFFF"/>
        </w:rPr>
        <w:t xml:space="preserve">  </w:t>
      </w:r>
      <w:r w:rsidRPr="00CB7BA4">
        <w:rPr>
          <w:color w:val="000000"/>
          <w:shd w:val="clear" w:color="auto" w:fill="FFFFFF"/>
        </w:rPr>
        <w:t xml:space="preserve">   </w:t>
      </w:r>
      <w:r w:rsidR="00C85EC4" w:rsidRPr="00CB7BA4">
        <w:t xml:space="preserve"> Д</w:t>
      </w:r>
      <w:r w:rsidR="001C3013" w:rsidRPr="00CB7BA4">
        <w:t>еятельность контрольно-счетной комиссии</w:t>
      </w:r>
      <w:r w:rsidR="00C85EC4" w:rsidRPr="00CB7BA4">
        <w:t xml:space="preserve"> в 2019 году </w:t>
      </w:r>
      <w:r w:rsidR="001C3013" w:rsidRPr="00CB7BA4">
        <w:t xml:space="preserve"> происходила в рамках, возложенных на нее действующим законодательством задач и предоставленных полномочий.  Задачи, определенные  планом работы контрольно-счетной комиссией на 2019 год, выполнены в полном объеме.</w:t>
      </w:r>
    </w:p>
    <w:p w:rsidR="005B24AC" w:rsidRPr="00CB7BA4" w:rsidRDefault="005B24AC" w:rsidP="001C3013">
      <w:pPr>
        <w:pStyle w:val="a8"/>
        <w:spacing w:after="0"/>
        <w:jc w:val="both"/>
      </w:pPr>
      <w:r w:rsidRPr="00CB7BA4">
        <w:t xml:space="preserve">       Итоги проведенных в отчетном году контрольных и экспертно-аналитических мероприятий свидетельствует о том, что в ходе формирования и исполнения бюджета городского округа имеются достаточные резервы совершенствования бюджетного процесса и укрепления финансовой дисциплины.  Проблемы совершенствования и усиления муниципального финансового контроля остаются не менее актуальными.</w:t>
      </w:r>
    </w:p>
    <w:p w:rsidR="00FD7EA8" w:rsidRPr="00CB7BA4" w:rsidRDefault="001C3013" w:rsidP="00BB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Приоритетн</w:t>
      </w:r>
      <w:r w:rsidR="00995D9B" w:rsidRPr="00CB7BA4">
        <w:rPr>
          <w:rFonts w:ascii="Times New Roman" w:hAnsi="Times New Roman" w:cs="Times New Roman"/>
          <w:sz w:val="24"/>
          <w:szCs w:val="24"/>
          <w:lang w:eastAsia="ru-RU"/>
        </w:rPr>
        <w:t>ым направлением деятельности</w:t>
      </w:r>
      <w:r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контрольно-счетной комиссии  </w:t>
      </w:r>
      <w:r w:rsidR="00995D9B"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B7BA4">
        <w:rPr>
          <w:rFonts w:ascii="Times New Roman" w:hAnsi="Times New Roman" w:cs="Times New Roman"/>
          <w:sz w:val="24"/>
          <w:szCs w:val="24"/>
          <w:lang w:eastAsia="ru-RU"/>
        </w:rPr>
        <w:t>2020 год</w:t>
      </w:r>
      <w:r w:rsidR="00995D9B" w:rsidRPr="00CB7BA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, как и в предыдущие годы, останется </w:t>
      </w:r>
      <w:r w:rsidR="00995D9B" w:rsidRPr="00CB7BA4">
        <w:rPr>
          <w:rFonts w:ascii="Times New Roman" w:hAnsi="Times New Roman" w:cs="Times New Roman"/>
          <w:sz w:val="24"/>
          <w:szCs w:val="24"/>
          <w:lang w:eastAsia="ru-RU"/>
        </w:rPr>
        <w:t>работа по профилактике и предупреждению нарушений действующего законодательства</w:t>
      </w:r>
      <w:r w:rsidR="00B27F93"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 при формировании и исполнении</w:t>
      </w:r>
      <w:r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  бюджета городского округа</w:t>
      </w:r>
      <w:r w:rsidR="00995D9B" w:rsidRPr="00CB7B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D9B"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38A" w:rsidRPr="00CB7BA4" w:rsidRDefault="009D638A" w:rsidP="00BB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38A" w:rsidRPr="00CB7BA4" w:rsidRDefault="009D638A" w:rsidP="00BB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38A" w:rsidRPr="00CB7BA4" w:rsidRDefault="009D638A" w:rsidP="00BB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264" w:rsidRPr="00CB7BA4" w:rsidRDefault="00F278A7" w:rsidP="00F2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5264" w:rsidRPr="00CB7BA4" w:rsidRDefault="005A5264" w:rsidP="005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64" w:rsidRPr="00CB7BA4" w:rsidRDefault="005A5264" w:rsidP="005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21" w:rsidRPr="00CB7BA4" w:rsidRDefault="000E4721" w:rsidP="00472F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F776C" w:rsidRPr="00CB7BA4" w:rsidRDefault="009F776C" w:rsidP="00472F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721" w:rsidRPr="00CB7BA4" w:rsidRDefault="000E4721" w:rsidP="00472F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F63" w:rsidRPr="00CB7BA4" w:rsidRDefault="00472F63" w:rsidP="00472F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A4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9537B" w:rsidRPr="00CB7BA4" w:rsidRDefault="0089537B" w:rsidP="0089537B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7B" w:rsidRPr="00CB7BA4" w:rsidRDefault="0089537B" w:rsidP="0089537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8CC" w:rsidRPr="00CB7BA4" w:rsidRDefault="003C48CC" w:rsidP="003C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8CC" w:rsidRPr="00CB7BA4" w:rsidSect="00F278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555"/>
    <w:multiLevelType w:val="hybridMultilevel"/>
    <w:tmpl w:val="031CB824"/>
    <w:lvl w:ilvl="0" w:tplc="EE12C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55A6"/>
    <w:multiLevelType w:val="hybridMultilevel"/>
    <w:tmpl w:val="A08A7348"/>
    <w:lvl w:ilvl="0" w:tplc="1012DB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580000B"/>
    <w:multiLevelType w:val="hybridMultilevel"/>
    <w:tmpl w:val="575A9DEC"/>
    <w:lvl w:ilvl="0" w:tplc="832E0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A"/>
    <w:rsid w:val="00030475"/>
    <w:rsid w:val="0003796D"/>
    <w:rsid w:val="000511D1"/>
    <w:rsid w:val="000C3971"/>
    <w:rsid w:val="000E2244"/>
    <w:rsid w:val="000E4721"/>
    <w:rsid w:val="000F746C"/>
    <w:rsid w:val="0016299C"/>
    <w:rsid w:val="001C3013"/>
    <w:rsid w:val="001E6132"/>
    <w:rsid w:val="001F6433"/>
    <w:rsid w:val="002474F7"/>
    <w:rsid w:val="00260563"/>
    <w:rsid w:val="002616A3"/>
    <w:rsid w:val="002756AA"/>
    <w:rsid w:val="0028080A"/>
    <w:rsid w:val="00302425"/>
    <w:rsid w:val="00324122"/>
    <w:rsid w:val="00341264"/>
    <w:rsid w:val="0034157B"/>
    <w:rsid w:val="003C48CC"/>
    <w:rsid w:val="003F660E"/>
    <w:rsid w:val="00434D16"/>
    <w:rsid w:val="00472F63"/>
    <w:rsid w:val="00480FB6"/>
    <w:rsid w:val="004A63D2"/>
    <w:rsid w:val="00595FF3"/>
    <w:rsid w:val="005A5264"/>
    <w:rsid w:val="005B24AC"/>
    <w:rsid w:val="00600230"/>
    <w:rsid w:val="006567D5"/>
    <w:rsid w:val="00687C88"/>
    <w:rsid w:val="006B07A0"/>
    <w:rsid w:val="006B1DFF"/>
    <w:rsid w:val="006D0C22"/>
    <w:rsid w:val="0070062D"/>
    <w:rsid w:val="00705D3D"/>
    <w:rsid w:val="00711740"/>
    <w:rsid w:val="0076319B"/>
    <w:rsid w:val="007F1E7A"/>
    <w:rsid w:val="0080620F"/>
    <w:rsid w:val="00847E56"/>
    <w:rsid w:val="0085672B"/>
    <w:rsid w:val="00894D88"/>
    <w:rsid w:val="0089537B"/>
    <w:rsid w:val="008A770C"/>
    <w:rsid w:val="008B3464"/>
    <w:rsid w:val="00903EC7"/>
    <w:rsid w:val="00906F70"/>
    <w:rsid w:val="00995D9B"/>
    <w:rsid w:val="009A2D44"/>
    <w:rsid w:val="009D638A"/>
    <w:rsid w:val="009F776C"/>
    <w:rsid w:val="00A278B9"/>
    <w:rsid w:val="00A76CBB"/>
    <w:rsid w:val="00A878A7"/>
    <w:rsid w:val="00AB6A5A"/>
    <w:rsid w:val="00AD4105"/>
    <w:rsid w:val="00B27F93"/>
    <w:rsid w:val="00B33194"/>
    <w:rsid w:val="00B66EB0"/>
    <w:rsid w:val="00B8165B"/>
    <w:rsid w:val="00B83C9A"/>
    <w:rsid w:val="00BB79AE"/>
    <w:rsid w:val="00C65AD2"/>
    <w:rsid w:val="00C85EC4"/>
    <w:rsid w:val="00CB7BA4"/>
    <w:rsid w:val="00D3035F"/>
    <w:rsid w:val="00D30960"/>
    <w:rsid w:val="00D5384C"/>
    <w:rsid w:val="00D53ACC"/>
    <w:rsid w:val="00D606DB"/>
    <w:rsid w:val="00DB33C0"/>
    <w:rsid w:val="00DF7BC0"/>
    <w:rsid w:val="00E04699"/>
    <w:rsid w:val="00E13B62"/>
    <w:rsid w:val="00E30EFF"/>
    <w:rsid w:val="00E5607E"/>
    <w:rsid w:val="00E56CC6"/>
    <w:rsid w:val="00F15AC0"/>
    <w:rsid w:val="00F22FB6"/>
    <w:rsid w:val="00F278A7"/>
    <w:rsid w:val="00F74578"/>
    <w:rsid w:val="00FC0B4B"/>
    <w:rsid w:val="00FC0D3C"/>
    <w:rsid w:val="00FC524F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9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4">
    <w:name w:val="Название Знак"/>
    <w:basedOn w:val="a0"/>
    <w:link w:val="a3"/>
    <w:rsid w:val="0003796D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5">
    <w:name w:val="List Paragraph"/>
    <w:basedOn w:val="a"/>
    <w:uiPriority w:val="34"/>
    <w:qFormat/>
    <w:rsid w:val="0089537B"/>
    <w:pPr>
      <w:ind w:left="720"/>
      <w:contextualSpacing/>
    </w:pPr>
  </w:style>
  <w:style w:type="paragraph" w:styleId="a6">
    <w:name w:val="Normal (Web)"/>
    <w:basedOn w:val="a"/>
    <w:rsid w:val="00687C88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30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1C3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C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9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4">
    <w:name w:val="Название Знак"/>
    <w:basedOn w:val="a0"/>
    <w:link w:val="a3"/>
    <w:rsid w:val="0003796D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5">
    <w:name w:val="List Paragraph"/>
    <w:basedOn w:val="a"/>
    <w:uiPriority w:val="34"/>
    <w:qFormat/>
    <w:rsid w:val="0089537B"/>
    <w:pPr>
      <w:ind w:left="720"/>
      <w:contextualSpacing/>
    </w:pPr>
  </w:style>
  <w:style w:type="paragraph" w:styleId="a6">
    <w:name w:val="Normal (Web)"/>
    <w:basedOn w:val="a"/>
    <w:rsid w:val="00687C88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30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1C3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C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2020-01-27T11:04:00Z</cp:lastPrinted>
  <dcterms:created xsi:type="dcterms:W3CDTF">2020-01-13T11:40:00Z</dcterms:created>
  <dcterms:modified xsi:type="dcterms:W3CDTF">2020-01-31T12:38:00Z</dcterms:modified>
</cp:coreProperties>
</file>